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40"/>
          <w:szCs w:val="40"/>
          <w:lang w:eastAsia="zh-CN"/>
        </w:rPr>
      </w:pPr>
      <w:r>
        <w:rPr>
          <w:rFonts w:hint="eastAsia" w:asciiTheme="minorEastAsia" w:hAnsiTheme="minorEastAsia" w:eastAsiaTheme="minorEastAsia" w:cstheme="minorEastAsia"/>
          <w:b/>
          <w:bCs/>
          <w:sz w:val="40"/>
          <w:szCs w:val="40"/>
          <w:lang w:eastAsia="zh-CN"/>
        </w:rPr>
        <w:t>前海合作区政策交流分享会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sz w:val="40"/>
          <w:szCs w:val="40"/>
          <w:lang w:eastAsia="zh-CN"/>
        </w:rPr>
      </w:pPr>
      <w:r>
        <w:rPr>
          <w:rFonts w:hint="eastAsia" w:asciiTheme="minorEastAsia" w:hAnsiTheme="minorEastAsia" w:cstheme="minorEastAsia"/>
          <w:b/>
          <w:bCs/>
          <w:sz w:val="40"/>
          <w:szCs w:val="40"/>
          <w:lang w:eastAsia="zh-CN"/>
        </w:rPr>
        <w:t>会议纪要</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5" w:beforeLines="200" w:line="360" w:lineRule="auto"/>
        <w:ind w:left="0" w:leftChars="0" w:firstLine="0" w:firstLineChars="0"/>
        <w:jc w:val="lef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sz w:val="28"/>
          <w:szCs w:val="28"/>
        </w:rPr>
        <w:t>时</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间：</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17</w:t>
      </w:r>
      <w:r>
        <w:rPr>
          <w:rFonts w:hint="eastAsia" w:asciiTheme="minorEastAsia" w:hAnsiTheme="minorEastAsia" w:eastAsiaTheme="minorEastAsia" w:cstheme="minorEastAsia"/>
          <w:sz w:val="28"/>
          <w:szCs w:val="28"/>
        </w:rPr>
        <w:t>日（周</w:t>
      </w:r>
      <w:r>
        <w:rPr>
          <w:rFonts w:hint="eastAsia" w:asciiTheme="minorEastAsia" w:hAnsiTheme="minorEastAsia" w:cstheme="minorEastAsia"/>
          <w:sz w:val="28"/>
          <w:szCs w:val="28"/>
          <w:lang w:eastAsia="zh-CN"/>
        </w:rPr>
        <w:t>三</w:t>
      </w:r>
      <w:r>
        <w:rPr>
          <w:rFonts w:hint="eastAsia" w:asciiTheme="minorEastAsia" w:hAnsiTheme="minorEastAsia" w:eastAsiaTheme="minorEastAsia" w:cstheme="minorEastAsia"/>
          <w:sz w:val="28"/>
          <w:szCs w:val="28"/>
        </w:rPr>
        <w:t>）14:30-17:</w:t>
      </w:r>
      <w:r>
        <w:rPr>
          <w:rFonts w:hint="eastAsia" w:asciiTheme="minorEastAsia" w:hAnsiTheme="minorEastAsia" w:cstheme="minorEastAsia"/>
          <w:sz w:val="28"/>
          <w:szCs w:val="28"/>
          <w:lang w:val="en-US" w:eastAsia="zh-CN"/>
        </w:rPr>
        <w:t>30</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firstLine="0" w:firstLineChars="0"/>
        <w:jc w:val="left"/>
        <w:textAlignment w:val="auto"/>
        <w:rPr>
          <w:rFonts w:hint="default"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rPr>
        <w:t>地</w:t>
      </w: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b/>
          <w:sz w:val="28"/>
          <w:szCs w:val="28"/>
        </w:rPr>
        <w:t>点：</w:t>
      </w:r>
      <w:r>
        <w:rPr>
          <w:rFonts w:hint="eastAsia" w:asciiTheme="minorEastAsia" w:hAnsiTheme="minorEastAsia" w:cstheme="minorEastAsia"/>
          <w:sz w:val="28"/>
          <w:szCs w:val="28"/>
          <w:lang w:val="en-US" w:eastAsia="zh-CN"/>
        </w:rPr>
        <w:t>深圳外商投资企业协会</w:t>
      </w:r>
      <w:r>
        <w:rPr>
          <w:rFonts w:hint="default" w:asciiTheme="minorEastAsia" w:hAnsiTheme="minorEastAsia" w:eastAsiaTheme="minorEastAsia" w:cstheme="minorEastAsia"/>
          <w:sz w:val="28"/>
          <w:szCs w:val="28"/>
          <w:lang w:eastAsia="zh-CN"/>
        </w:rPr>
        <w:t>前海联络办公室</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60" w:lineRule="atLeast"/>
        <w:jc w:val="both"/>
        <w:textAlignment w:val="auto"/>
        <w:rPr>
          <w:rFonts w:hint="eastAsia" w:asciiTheme="minorEastAsia" w:hAnsiTheme="minorEastAsia" w:cstheme="minorEastAsia"/>
          <w:b/>
          <w:bCs/>
          <w:sz w:val="28"/>
          <w:szCs w:val="28"/>
          <w:lang w:eastAsia="zh-CN"/>
        </w:rPr>
      </w:pP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范煜：</w:t>
      </w:r>
    </w:p>
    <w:p>
      <w:p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交流会关注问题：</w:t>
      </w:r>
    </w:p>
    <w:p>
      <w:pPr>
        <w:numPr>
          <w:ilvl w:val="0"/>
          <w:numId w:val="1"/>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发改介绍前海政策规划介绍；</w:t>
      </w:r>
    </w:p>
    <w:p>
      <w:pPr>
        <w:numPr>
          <w:ilvl w:val="0"/>
          <w:numId w:val="1"/>
        </w:num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企业规划分享，对前海的期望，关注；</w:t>
      </w:r>
    </w:p>
    <w:p>
      <w:pPr>
        <w:numPr>
          <w:ilvl w:val="0"/>
          <w:numId w:val="0"/>
        </w:numPr>
        <w:rPr>
          <w:rFonts w:hint="eastAsia" w:asciiTheme="minorEastAsia" w:hAnsiTheme="minorEastAsia" w:cstheme="minorEastAsia"/>
          <w:sz w:val="28"/>
          <w:szCs w:val="28"/>
          <w:lang w:val="en-US" w:eastAsia="zh-CN"/>
        </w:rPr>
      </w:pP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苏波：</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目前从书记、市长都在号召做企业服务，</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前海扩区，承载国家战略规划，在对外开放制度创新是主要的使命，希望企业家能够给前海出谋献策，企业是与国际充分接轨的，希望能够通过交流与国际接轨，打开国际视野，同时输出国内规则。</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前海在税收政策等有优势政策，有些机制在打通的过程中。</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香港作为一个自由贸易港，前海也在朝着这个方向努力，希望前海也能成为助力企业再次腾飞的地方。</w:t>
      </w:r>
    </w:p>
    <w:p>
      <w:pPr>
        <w:numPr>
          <w:ilvl w:val="0"/>
          <w:numId w:val="0"/>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希望出来的政策能够复制到全国的，能够引领政策创新、制度创新发展的，能够帮助到企业。</w:t>
      </w:r>
    </w:p>
    <w:p>
      <w:pPr>
        <w:numPr>
          <w:ilvl w:val="0"/>
          <w:numId w:val="0"/>
        </w:numPr>
        <w:rPr>
          <w:rFonts w:hint="eastAsia" w:asciiTheme="minorEastAsia" w:hAnsiTheme="minorEastAsia" w:cstheme="minorEastAsia"/>
          <w:b/>
          <w:bCs/>
          <w:sz w:val="28"/>
          <w:szCs w:val="28"/>
          <w:lang w:val="en-US" w:eastAsia="zh-CN"/>
        </w:rPr>
      </w:pPr>
    </w:p>
    <w:p>
      <w:pPr>
        <w:numPr>
          <w:ilvl w:val="0"/>
          <w:numId w:val="0"/>
        </w:numP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范煜：</w:t>
      </w:r>
    </w:p>
    <w:p>
      <w:pPr>
        <w:numPr>
          <w:ilvl w:val="0"/>
          <w:numId w:val="0"/>
        </w:num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发改、商务局出台的总部企业的认定门槛比较低，申请资金门槛较高。</w:t>
      </w:r>
    </w:p>
    <w:p>
      <w:pPr>
        <w:numPr>
          <w:ilvl w:val="0"/>
          <w:numId w:val="0"/>
        </w:numPr>
        <w:rPr>
          <w:rFonts w:hint="eastAsia" w:asciiTheme="minorEastAsia" w:hAnsiTheme="minorEastAsia" w:cstheme="minorEastAsia"/>
          <w:b w:val="0"/>
          <w:bCs w:val="0"/>
          <w:sz w:val="28"/>
          <w:szCs w:val="28"/>
          <w:lang w:val="en-US" w:eastAsia="zh-CN"/>
        </w:rPr>
      </w:pPr>
    </w:p>
    <w:p>
      <w:pPr>
        <w:numPr>
          <w:ilvl w:val="0"/>
          <w:numId w:val="0"/>
        </w:numPr>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刘素军：</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政策介绍：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企业所得税：符合产业的目录（主营业务60%）的可享受，由前海税局抽查后，由前海管理局认定，认定通过后可终身享受，认定不通过补缴；</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个税：市人社局奖励</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租金补贴：最多可能免一半租金，前海局正在和各办公楼联系希望在特定办公楼形成集聚业态效应。</w:t>
      </w:r>
      <w:r>
        <w:rPr>
          <w:rFonts w:hint="eastAsia" w:asciiTheme="minorEastAsia" w:hAnsiTheme="minorEastAsia" w:cstheme="minorEastAsia"/>
          <w:sz w:val="28"/>
          <w:szCs w:val="28"/>
          <w:lang w:val="en-US" w:eastAsia="zh-CN"/>
        </w:rPr>
        <w:br w:type="textWrapping"/>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总部政策制定思路：</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前还有上、中、下的各项政策考量。</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主要对象为港资企业（港资持股25%以上），</w:t>
      </w:r>
      <w:r>
        <w:rPr>
          <w:rFonts w:hint="eastAsia" w:asciiTheme="minorEastAsia" w:hAnsiTheme="minorEastAsia" w:cstheme="minorEastAsia"/>
          <w:sz w:val="28"/>
          <w:szCs w:val="28"/>
          <w:highlight w:val="yellow"/>
          <w:lang w:val="en-US" w:eastAsia="zh-CN"/>
        </w:rPr>
        <w:t>门槛：8条。</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经营未满一年：营收10亿，4000万地方财力，母公司资产总额营收有限额；</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经营满一年：营收10亿，4000万地方财力；</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物流：1000万地方财力，4000万营收，物流不低于60%；</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科技：1000万地方财力，5亿营收，国高认定；</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专业服务业：1000万营收；</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金融：持牌机构就ok；</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上市公司，中国500强，世界500强，跨国公司总部认定企业+地方财政1000万，深港合作港资项目。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内资总部：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内地通过市里区里认定即可认定。</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资金奖励政策：</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落户奖励：金融5000万，其他300-500万区间，基于利润总额奖励；</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成长奖励：满一年以上，上一年度利润总额增加，营收增加，增量1%最高不超过1000万；</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经营团队奖励：上一年度利润总额，最多8000万；</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培育奖励：培育成中国500强500万，世界500强1000万。</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default" w:asciiTheme="minorEastAsia" w:hAnsiTheme="minorEastAsia" w:cstheme="minorEastAsia"/>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国际商业机器（中国）有限公司</w:t>
      </w:r>
      <w:r>
        <w:rPr>
          <w:rFonts w:hint="eastAsia" w:asciiTheme="minorEastAsia" w:hAnsiTheme="minorEastAsia" w:cstheme="minorEastAsia"/>
          <w:b/>
          <w:bCs/>
          <w:sz w:val="28"/>
          <w:szCs w:val="28"/>
          <w:lang w:val="en-US" w:eastAsia="zh-CN"/>
        </w:rPr>
        <w:t>（创新科技）</w:t>
      </w:r>
      <w:r>
        <w:rPr>
          <w:rFonts w:hint="eastAsia" w:asciiTheme="minorEastAsia" w:hAnsiTheme="minorEastAsia" w:eastAsiaTheme="minorEastAsia" w:cstheme="minorEastAsia"/>
          <w:b/>
          <w:bCs/>
          <w:sz w:val="28"/>
          <w:szCs w:val="28"/>
          <w:lang w:val="en-US" w:eastAsia="zh-CN"/>
        </w:rPr>
        <w:t>总经理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林原</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企业业务涵盖科技+物流+供应链等，但每一块比例都占20%、30%，没有特别大的比重。（导致企业在申请时资格认定障碍）</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大多企业在国内其他地方都有办公室/总部型办公，美国总部希望最直观的能看到的是前海和其他地方不一样的地方（政策），目前亚洲总部主要在新加坡，税收上的政策是最直接且最有效的，且人的聚集将会带动大片员工发展，人才才是区域发展的核心。</w:t>
      </w:r>
    </w:p>
    <w:p>
      <w:pPr>
        <w:keepNext w:val="0"/>
        <w:keepLines w:val="0"/>
        <w:pageBreakBefore w:val="0"/>
        <w:widowControl w:val="0"/>
        <w:numPr>
          <w:ilvl w:val="0"/>
          <w:numId w:val="4"/>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前海应该立足于全球，比肩的是世界开放型城市，公司在思考把什么样的业务形态放进来，以设立华南区的总部。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default" w:asciiTheme="minorEastAsia" w:hAnsiTheme="minorEastAsia" w:cstheme="minorEastAsia"/>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广东德昌电机有限公司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中国事务总裁助理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冯士洲</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诉求：企业生产将会向外地转移，希望研发中心、研发人才能够留在深圳，希望前海有制造业的研发、设计相关优惠政策。（不要局限于营收税收等）</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公司很多传统制造业，机械加工、电子制造等技术都处在领先地位，传统产业的外迁把研发人员都带走，也将会导致深圳优势逐渐流失。</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湾区建设中深圳作为核心城市起到大脑作用，粤东粤西做智造方面的末端，人才聚集会使得深圳向高端制造业顺利过度，但无法带来产值、税收。</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地上铁租车（深圳）有限公司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政府与公共事务总监</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周欣</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新能源商用车运营，细分领域做到规模化，全国第一，公司同时有运输、IT、资产运营版块。</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公司搬迁后员工1000多人，生活便利性受很大影响（通勤成本、租房成本等）；——南山、宝安都认定前海企业的人才租房补贴。</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政策中税收、利润的申请条件对于运营企业难度较大；——希望总部企业标准能够降低（适用于独角兽企业）。</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艾奕康设计与咨询(深圳)有限公司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华南区及西华区总经理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fldChar w:fldCharType="begin"/>
      </w:r>
      <w:r>
        <w:rPr>
          <w:rFonts w:hint="eastAsia" w:asciiTheme="minorEastAsia" w:hAnsiTheme="minorEastAsia" w:eastAsiaTheme="minorEastAsia" w:cstheme="minorEastAsia"/>
          <w:b/>
          <w:bCs/>
          <w:sz w:val="28"/>
          <w:szCs w:val="28"/>
          <w:lang w:val="en-US" w:eastAsia="zh-CN"/>
        </w:rPr>
        <w:instrText xml:space="preserve"> HYPERLINK "https://ecnia.glueup.cn/events/37631/manage/registrations/1463160/2045519_v2" \o "https://ecnia.glueup.cn/events/37631/manage/registrations/1463160/2045519_v2" </w:instrText>
      </w:r>
      <w:r>
        <w:rPr>
          <w:rFonts w:hint="eastAsia" w:asciiTheme="minorEastAsia" w:hAnsiTheme="minorEastAsia" w:eastAsiaTheme="minorEastAsia" w:cstheme="minorEastAsia"/>
          <w:b/>
          <w:bCs/>
          <w:sz w:val="28"/>
          <w:szCs w:val="28"/>
          <w:lang w:val="en-US" w:eastAsia="zh-CN"/>
        </w:rPr>
        <w:fldChar w:fldCharType="separate"/>
      </w:r>
      <w:r>
        <w:rPr>
          <w:rFonts w:hint="eastAsia" w:asciiTheme="minorEastAsia" w:hAnsiTheme="minorEastAsia" w:eastAsiaTheme="minorEastAsia" w:cstheme="minorEastAsia"/>
          <w:b/>
          <w:bCs/>
          <w:sz w:val="28"/>
          <w:szCs w:val="28"/>
          <w:lang w:val="en-US" w:eastAsia="zh-CN"/>
        </w:rPr>
        <w:t>黄岩</w:t>
      </w:r>
      <w:r>
        <w:rPr>
          <w:rFonts w:hint="eastAsia" w:asciiTheme="minorEastAsia" w:hAnsiTheme="minorEastAsia" w:eastAsiaTheme="minorEastAsia" w:cstheme="minorEastAsia"/>
          <w:b/>
          <w:bCs/>
          <w:sz w:val="28"/>
          <w:szCs w:val="28"/>
          <w:lang w:val="en-US" w:eastAsia="zh-CN"/>
        </w:rPr>
        <w:fldChar w:fldCharType="end"/>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美国上市，全球财富189位，主营基础设施设计咨询，建筑景观管理规划。亚洲总部在香港，香港90%基建由AECom来做，很关注前海政策，有专业团队对前海政策做了研究。中国区管理总部在上海，业务总部在深圳蛇口。</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企业符合招引奖励的4A企业（政策P21）。香港亚洲区总部想投资新公司（港资），但新公司很难达到前海的政策标准，公司已经在深圳上海等地都已经有公司了，需要给到总部一个足够的理由设立新公司，前海对比南山等没有特别有吸引力的政策，反而在税收优惠上前海不覆盖分公司，南山覆盖分公司，导致公司就不想再进行过多投资。</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港资企业在前海拿不到项目：拿项目时需要资质，人员在香港已经有了资质，且已经做了互认，但是公司没有资质认证，导致公司目前内地业务还延续几年前的业务，新业务不好开展。</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Chars="0"/>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苏波：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前海做法希望能够对标国际通用做法，希望能够由企业提供途径、案例，寻找突破口。</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康栢会计师事务所有限公司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大中华区副行政总裁</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fldChar w:fldCharType="begin"/>
      </w:r>
      <w:r>
        <w:rPr>
          <w:rFonts w:hint="eastAsia" w:asciiTheme="minorEastAsia" w:hAnsiTheme="minorEastAsia" w:eastAsiaTheme="minorEastAsia" w:cstheme="minorEastAsia"/>
          <w:b/>
          <w:bCs/>
          <w:sz w:val="28"/>
          <w:szCs w:val="28"/>
          <w:lang w:val="en-US" w:eastAsia="zh-CN"/>
        </w:rPr>
        <w:instrText xml:space="preserve"> HYPERLINK "https://ecnia.glueup.cn/events/37631/manage/registrations/1462231/2044432_v1" \o "https://ecnia.glueup.cn/events/37631/manage/registrations/1462231/2044432_v1" </w:instrText>
      </w:r>
      <w:r>
        <w:rPr>
          <w:rFonts w:hint="eastAsia" w:asciiTheme="minorEastAsia" w:hAnsiTheme="minorEastAsia" w:eastAsiaTheme="minorEastAsia" w:cstheme="minorEastAsia"/>
          <w:b/>
          <w:bCs/>
          <w:sz w:val="28"/>
          <w:szCs w:val="28"/>
          <w:lang w:val="en-US" w:eastAsia="zh-CN"/>
        </w:rPr>
        <w:fldChar w:fldCharType="separate"/>
      </w:r>
      <w:r>
        <w:rPr>
          <w:rFonts w:hint="eastAsia" w:asciiTheme="minorEastAsia" w:hAnsiTheme="minorEastAsia" w:eastAsiaTheme="minorEastAsia" w:cstheme="minorEastAsia"/>
          <w:b/>
          <w:bCs/>
          <w:sz w:val="28"/>
          <w:szCs w:val="28"/>
          <w:lang w:val="en-US" w:eastAsia="zh-CN"/>
        </w:rPr>
        <w:t>胡瑞英</w:t>
      </w:r>
      <w:r>
        <w:rPr>
          <w:rFonts w:hint="eastAsia" w:asciiTheme="minorEastAsia" w:hAnsiTheme="minorEastAsia" w:eastAsiaTheme="minorEastAsia" w:cstheme="minorEastAsia"/>
          <w:b/>
          <w:bCs/>
          <w:sz w:val="28"/>
          <w:szCs w:val="28"/>
          <w:lang w:val="en-US" w:eastAsia="zh-CN"/>
        </w:rPr>
        <w:fldChar w:fldCharType="end"/>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公司在福田区，员工基本在罗湖福田龙华，企业搬迁后员工通勤问题是需要解决的首要问题；</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港澳台、欧美投资企业由香港作为跳板，前海成立以来已经有几十家公司通过康栢在前海设立，但银行账户因为疫情原因人无法进出导致开不了户，时间拖延，境内业务难以开展，甚至导致公司注销。——协会已就此问题向《投资条例》做了相关反映</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总部问题：国内有些独角兽公司去境外做上市后融资返程，设立特殊目的公司，前海目前走不通这条路，无法返程，目前公司通过广州南沙解决。（37号文</w:t>
      </w:r>
      <w:r>
        <w:rPr>
          <w:rFonts w:hint="eastAsia" w:asciiTheme="minorEastAsia" w:hAnsiTheme="minorEastAsia" w:cstheme="minorEastAsia"/>
          <w:b/>
          <w:bCs/>
          <w:sz w:val="28"/>
          <w:szCs w:val="28"/>
          <w:lang w:val="en-US" w:eastAsia="zh-CN"/>
        </w:rPr>
        <w:t>《国家外汇管理局关于境内居民通过特殊目的公司境外投融资及返程投资外汇管理有关问题的通知》</w:t>
      </w:r>
      <w:r>
        <w:rPr>
          <w:rFonts w:hint="eastAsia" w:asciiTheme="minorEastAsia" w:hAnsiTheme="minorEastAsia" w:cstheme="minorEastAsia"/>
          <w:b w:val="0"/>
          <w:bCs w:val="0"/>
          <w:sz w:val="28"/>
          <w:szCs w:val="28"/>
          <w:lang w:val="en-US" w:eastAsia="zh-CN"/>
        </w:rPr>
        <w:t>）——协会与外管局、人行等联系对接</w:t>
      </w:r>
      <w:bookmarkStart w:id="0" w:name="_GoBack"/>
      <w:bookmarkEnd w:id="0"/>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bCs/>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利丰采购管理（深圳）有限公司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高级法务</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丘建敏</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利丰（广东）进出口贸易有限公司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运营高级经理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朱明</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集团公司在香港，历史116年，去年采购160亿美元，中国占一半-深圳占1/4。主营国际供应链管理，传统商贸公司（做买方代理，发单，产业聚集概念），去年开始做供应链相关FDI投资。</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公司高层对各地政策规划有了解，对比前海和河套，考核后认为前海相对河套更加综合，也在考量大量的管理层员工往哪放。</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对于总部企业认定，税收难以满足硬指标，但采购额量巨大，对于供应链行业来说采购量、订单量等维度可以做衡量标准，通过本企业带动了下游生产型企业的发展，同时带动了税收贡献，但这种很难以标准化去衡量，希望在申请条件中能够考量各行业独特贡献维度。</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default"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大新银行（中国）有限公司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前海支行</w:t>
      </w:r>
      <w:r>
        <w:rPr>
          <w:rFonts w:hint="eastAsia" w:asciiTheme="minorEastAsia" w:hAnsiTheme="minorEastAsia" w:cstheme="minorEastAsia"/>
          <w:b/>
          <w:bCs/>
          <w:sz w:val="28"/>
          <w:szCs w:val="28"/>
          <w:lang w:val="en-US" w:eastAsia="zh-CN"/>
        </w:rPr>
        <w:t>副</w:t>
      </w:r>
      <w:r>
        <w:rPr>
          <w:rFonts w:hint="eastAsia" w:asciiTheme="minorEastAsia" w:hAnsiTheme="minorEastAsia" w:eastAsiaTheme="minorEastAsia" w:cstheme="minorEastAsia"/>
          <w:b/>
          <w:bCs/>
          <w:sz w:val="28"/>
          <w:szCs w:val="28"/>
          <w:lang w:val="en-US" w:eastAsia="zh-CN"/>
        </w:rPr>
        <w:t>行长</w:t>
      </w:r>
      <w:r>
        <w:rPr>
          <w:rFonts w:hint="eastAsia" w:asciiTheme="minorEastAsia" w:hAnsiTheme="minorEastAsia" w:cstheme="minorEastAsia"/>
          <w:b/>
          <w:bCs/>
          <w:sz w:val="28"/>
          <w:szCs w:val="28"/>
          <w:lang w:val="en-US" w:eastAsia="zh-CN"/>
        </w:rPr>
        <w:t xml:space="preserve"> 张乘恺</w:t>
      </w:r>
    </w:p>
    <w:p>
      <w:pPr>
        <w:keepNext w:val="0"/>
        <w:keepLines w:val="0"/>
        <w:pageBreakBefore w:val="0"/>
        <w:widowControl w:val="0"/>
        <w:numPr>
          <w:ilvl w:val="0"/>
          <w:numId w:val="1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在后续为企业配置金融方案时可以和前海政策联动，更好的服务企业；</w:t>
      </w:r>
    </w:p>
    <w:p>
      <w:pPr>
        <w:keepNext w:val="0"/>
        <w:keepLines w:val="0"/>
        <w:pageBreakBefore w:val="0"/>
        <w:widowControl w:val="0"/>
        <w:numPr>
          <w:ilvl w:val="0"/>
          <w:numId w:val="1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0" w:leftChars="0" w:firstLine="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业务覆盖：</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0" w:leftChars="0" w:hanging="420"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个人、内地企业在港开户</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0" w:leftChars="0" w:hanging="42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港企、港人资金出入境</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0" w:leftChars="0" w:hanging="420" w:firstLineChars="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可为客户提供液晶屏广告位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default" w:asciiTheme="minorEastAsia" w:hAnsiTheme="minorEastAsia" w:eastAsiaTheme="minorEastAsia" w:cstheme="minorEastAsia"/>
          <w:b/>
          <w:bCs/>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深圳市时代华盛网络科技有限公司 公共关系总监</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蒋李思</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是一家互联网开发研发公司，员工有600多人，对人才投入比重大，公司有境外人才招聘需求，希望吸引境外人才进入，正在找相关渠道。</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val="0"/>
          <w:bCs w:val="0"/>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深圳力劲科技有限公司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总经理助理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韦春婷</w:t>
      </w:r>
    </w:p>
    <w:p>
      <w:pPr>
        <w:keepNext w:val="0"/>
        <w:keepLines w:val="0"/>
        <w:pageBreakBefore w:val="0"/>
        <w:widowControl w:val="0"/>
        <w:numPr>
          <w:ilvl w:val="0"/>
          <w:numId w:val="1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制造业企业，压轴机业务全球最大，属高端装备制造业。</w:t>
      </w:r>
    </w:p>
    <w:p>
      <w:pPr>
        <w:keepNext w:val="0"/>
        <w:keepLines w:val="0"/>
        <w:pageBreakBefore w:val="0"/>
        <w:widowControl w:val="0"/>
        <w:numPr>
          <w:ilvl w:val="0"/>
          <w:numId w:val="1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公司正在计划以总部企业的形式迁至前海，目前集团全国各地的产业都在整合，涉及到各企业的重组，但重组后税收还是由各地缴纳，前海能否给予政策支持。——税收较难突破，但可以以返还的形式做补贴。</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val="0"/>
          <w:bCs w:val="0"/>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三菱日联银行（中国）有限公司深圳分行</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总监</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胡钰宇</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分行1月份从福田搬前海，公司86年在深圳成立，历经罗湖-福田-前海。</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希望可以承担日企-外企-内资企业沟通的桥梁，也期待前海政府能够做平台打通各企业上下游，形成聚集优势。</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目前企业在享受政策之前需要主动去找，很多资金支持没有享受到，希望可以得到更加便利的渠道。</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jc w:val="both"/>
        <w:textAlignment w:val="auto"/>
        <w:rPr>
          <w:rFonts w:hint="eastAsia" w:asciiTheme="minorEastAsia" w:hAnsiTheme="minorEastAsia" w:cstheme="minorEastAsia"/>
          <w:b w:val="0"/>
          <w:bCs w:val="0"/>
          <w:sz w:val="28"/>
          <w:szCs w:val="28"/>
          <w:lang w:val="en-US" w:eastAsia="zh-CN"/>
        </w:rPr>
      </w:pP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540" w:lineRule="exact"/>
        <w:ind w:left="0" w:leftChars="0" w:firstLine="0" w:firstLineChars="0"/>
        <w:jc w:val="left"/>
        <w:textAlignment w:val="auto"/>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sz w:val="28"/>
          <w:szCs w:val="28"/>
          <w:lang w:val="en-US" w:eastAsia="zh-CN"/>
        </w:rPr>
        <w:t>瑞德电子（深圳）有限公司</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经理</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黄玉芬</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瑞士企业，2月份增资了1000万美金在宝安，部分产业搬迁至赣州。</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领导对前海规划政策非常感兴趣，希望把香港的总部+研发迁至前海，但公司高层在了解前海的政策时比较吃力，没有找到很好的渠道。</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40" w:lineRule="exact"/>
        <w:ind w:left="425" w:leftChars="0" w:hanging="425" w:firstLineChars="0"/>
        <w:jc w:val="both"/>
        <w:textAlignment w:val="auto"/>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非常有意向在前海发展，没有看到前海对制造业的力度支持。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1F437"/>
    <w:multiLevelType w:val="singleLevel"/>
    <w:tmpl w:val="A9B1F437"/>
    <w:lvl w:ilvl="0" w:tentative="0">
      <w:start w:val="1"/>
      <w:numFmt w:val="decimal"/>
      <w:suff w:val="space"/>
      <w:lvlText w:val="%1."/>
      <w:lvlJc w:val="left"/>
    </w:lvl>
  </w:abstractNum>
  <w:abstractNum w:abstractNumId="1">
    <w:nsid w:val="AB3C03D0"/>
    <w:multiLevelType w:val="singleLevel"/>
    <w:tmpl w:val="AB3C03D0"/>
    <w:lvl w:ilvl="0" w:tentative="0">
      <w:start w:val="1"/>
      <w:numFmt w:val="bullet"/>
      <w:lvlText w:val=""/>
      <w:lvlJc w:val="left"/>
      <w:pPr>
        <w:ind w:left="420" w:hanging="420"/>
      </w:pPr>
      <w:rPr>
        <w:rFonts w:hint="default" w:ascii="Wingdings" w:hAnsi="Wingdings"/>
      </w:rPr>
    </w:lvl>
  </w:abstractNum>
  <w:abstractNum w:abstractNumId="2">
    <w:nsid w:val="AF535D0B"/>
    <w:multiLevelType w:val="singleLevel"/>
    <w:tmpl w:val="AF535D0B"/>
    <w:lvl w:ilvl="0" w:tentative="0">
      <w:start w:val="1"/>
      <w:numFmt w:val="decimal"/>
      <w:lvlText w:val="%1."/>
      <w:lvlJc w:val="left"/>
      <w:pPr>
        <w:ind w:left="425" w:hanging="425"/>
      </w:pPr>
      <w:rPr>
        <w:rFonts w:hint="default"/>
      </w:rPr>
    </w:lvl>
  </w:abstractNum>
  <w:abstractNum w:abstractNumId="3">
    <w:nsid w:val="B2ABAABB"/>
    <w:multiLevelType w:val="singleLevel"/>
    <w:tmpl w:val="B2ABAABB"/>
    <w:lvl w:ilvl="0" w:tentative="0">
      <w:start w:val="1"/>
      <w:numFmt w:val="decimal"/>
      <w:suff w:val="space"/>
      <w:lvlText w:val="%1."/>
      <w:lvlJc w:val="left"/>
    </w:lvl>
  </w:abstractNum>
  <w:abstractNum w:abstractNumId="4">
    <w:nsid w:val="EF235CE5"/>
    <w:multiLevelType w:val="singleLevel"/>
    <w:tmpl w:val="EF235CE5"/>
    <w:lvl w:ilvl="0" w:tentative="0">
      <w:start w:val="1"/>
      <w:numFmt w:val="decimal"/>
      <w:lvlText w:val="%1."/>
      <w:lvlJc w:val="left"/>
      <w:pPr>
        <w:tabs>
          <w:tab w:val="left" w:pos="312"/>
        </w:tabs>
      </w:pPr>
    </w:lvl>
  </w:abstractNum>
  <w:abstractNum w:abstractNumId="5">
    <w:nsid w:val="06075DCF"/>
    <w:multiLevelType w:val="singleLevel"/>
    <w:tmpl w:val="06075DCF"/>
    <w:lvl w:ilvl="0" w:tentative="0">
      <w:start w:val="1"/>
      <w:numFmt w:val="decimal"/>
      <w:suff w:val="space"/>
      <w:lvlText w:val="%1."/>
      <w:lvlJc w:val="left"/>
    </w:lvl>
  </w:abstractNum>
  <w:abstractNum w:abstractNumId="6">
    <w:nsid w:val="19D94690"/>
    <w:multiLevelType w:val="singleLevel"/>
    <w:tmpl w:val="19D94690"/>
    <w:lvl w:ilvl="0" w:tentative="0">
      <w:start w:val="1"/>
      <w:numFmt w:val="decimal"/>
      <w:suff w:val="space"/>
      <w:lvlText w:val="%1."/>
      <w:lvlJc w:val="left"/>
    </w:lvl>
  </w:abstractNum>
  <w:abstractNum w:abstractNumId="7">
    <w:nsid w:val="290AA26B"/>
    <w:multiLevelType w:val="singleLevel"/>
    <w:tmpl w:val="290AA26B"/>
    <w:lvl w:ilvl="0" w:tentative="0">
      <w:start w:val="1"/>
      <w:numFmt w:val="decimal"/>
      <w:suff w:val="space"/>
      <w:lvlText w:val="%1."/>
      <w:lvlJc w:val="left"/>
    </w:lvl>
  </w:abstractNum>
  <w:abstractNum w:abstractNumId="8">
    <w:nsid w:val="2BE52B47"/>
    <w:multiLevelType w:val="singleLevel"/>
    <w:tmpl w:val="2BE52B47"/>
    <w:lvl w:ilvl="0" w:tentative="0">
      <w:start w:val="1"/>
      <w:numFmt w:val="decimal"/>
      <w:suff w:val="space"/>
      <w:lvlText w:val="%1."/>
      <w:lvlJc w:val="left"/>
    </w:lvl>
  </w:abstractNum>
  <w:abstractNum w:abstractNumId="9">
    <w:nsid w:val="3B390D04"/>
    <w:multiLevelType w:val="singleLevel"/>
    <w:tmpl w:val="3B390D04"/>
    <w:lvl w:ilvl="0" w:tentative="0">
      <w:start w:val="1"/>
      <w:numFmt w:val="decimal"/>
      <w:suff w:val="space"/>
      <w:lvlText w:val="%1."/>
      <w:lvlJc w:val="left"/>
    </w:lvl>
  </w:abstractNum>
  <w:abstractNum w:abstractNumId="10">
    <w:nsid w:val="557E1825"/>
    <w:multiLevelType w:val="singleLevel"/>
    <w:tmpl w:val="557E1825"/>
    <w:lvl w:ilvl="0" w:tentative="0">
      <w:start w:val="1"/>
      <w:numFmt w:val="decimal"/>
      <w:lvlText w:val="%1."/>
      <w:lvlJc w:val="left"/>
      <w:pPr>
        <w:tabs>
          <w:tab w:val="left" w:pos="312"/>
        </w:tabs>
      </w:pPr>
    </w:lvl>
  </w:abstractNum>
  <w:abstractNum w:abstractNumId="11">
    <w:nsid w:val="72DD5ABF"/>
    <w:multiLevelType w:val="singleLevel"/>
    <w:tmpl w:val="72DD5ABF"/>
    <w:lvl w:ilvl="0" w:tentative="0">
      <w:start w:val="1"/>
      <w:numFmt w:val="decimal"/>
      <w:lvlText w:val="%1."/>
      <w:lvlJc w:val="left"/>
      <w:pPr>
        <w:tabs>
          <w:tab w:val="left" w:pos="312"/>
        </w:tabs>
      </w:pPr>
    </w:lvl>
  </w:abstractNum>
  <w:abstractNum w:abstractNumId="12">
    <w:nsid w:val="79BE023D"/>
    <w:multiLevelType w:val="singleLevel"/>
    <w:tmpl w:val="79BE023D"/>
    <w:lvl w:ilvl="0" w:tentative="0">
      <w:start w:val="1"/>
      <w:numFmt w:val="decimal"/>
      <w:lvlText w:val="%1."/>
      <w:lvlJc w:val="left"/>
      <w:pPr>
        <w:ind w:left="425" w:hanging="425"/>
      </w:pPr>
      <w:rPr>
        <w:rFonts w:hint="default"/>
      </w:rPr>
    </w:lvl>
  </w:abstractNum>
  <w:abstractNum w:abstractNumId="13">
    <w:nsid w:val="7AABF6F5"/>
    <w:multiLevelType w:val="singleLevel"/>
    <w:tmpl w:val="7AABF6F5"/>
    <w:lvl w:ilvl="0" w:tentative="0">
      <w:start w:val="1"/>
      <w:numFmt w:val="decimal"/>
      <w:lvlText w:val="%1."/>
      <w:lvlJc w:val="left"/>
      <w:pPr>
        <w:ind w:left="425" w:hanging="425"/>
      </w:pPr>
      <w:rPr>
        <w:rFonts w:hint="default"/>
      </w:rPr>
    </w:lvl>
  </w:abstractNum>
  <w:num w:numId="1">
    <w:abstractNumId w:val="11"/>
  </w:num>
  <w:num w:numId="2">
    <w:abstractNumId w:val="4"/>
  </w:num>
  <w:num w:numId="3">
    <w:abstractNumId w:val="10"/>
  </w:num>
  <w:num w:numId="4">
    <w:abstractNumId w:val="9"/>
  </w:num>
  <w:num w:numId="5">
    <w:abstractNumId w:val="6"/>
  </w:num>
  <w:num w:numId="6">
    <w:abstractNumId w:val="3"/>
  </w:num>
  <w:num w:numId="7">
    <w:abstractNumId w:val="5"/>
  </w:num>
  <w:num w:numId="8">
    <w:abstractNumId w:val="0"/>
  </w:num>
  <w:num w:numId="9">
    <w:abstractNumId w:val="7"/>
  </w:num>
  <w:num w:numId="10">
    <w:abstractNumId w:val="8"/>
  </w:num>
  <w:num w:numId="11">
    <w:abstractNumId w:val="1"/>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YTRjMjIxZjkyMDk4YmEzN2Q2YjFiN2NjZWE0NmUifQ=="/>
  </w:docVars>
  <w:rsids>
    <w:rsidRoot w:val="25B77A71"/>
    <w:rsid w:val="00205B3C"/>
    <w:rsid w:val="04693B13"/>
    <w:rsid w:val="0634029A"/>
    <w:rsid w:val="0680729D"/>
    <w:rsid w:val="06F31B61"/>
    <w:rsid w:val="07545743"/>
    <w:rsid w:val="0E236E8B"/>
    <w:rsid w:val="116B3023"/>
    <w:rsid w:val="11AC0F46"/>
    <w:rsid w:val="124318AA"/>
    <w:rsid w:val="125A4E46"/>
    <w:rsid w:val="1288641C"/>
    <w:rsid w:val="133C19BD"/>
    <w:rsid w:val="15A22D8C"/>
    <w:rsid w:val="15E82B02"/>
    <w:rsid w:val="17FF4189"/>
    <w:rsid w:val="195C1272"/>
    <w:rsid w:val="1A424B3D"/>
    <w:rsid w:val="1C8C2744"/>
    <w:rsid w:val="1D4961E3"/>
    <w:rsid w:val="1DBC0763"/>
    <w:rsid w:val="1FAA11BB"/>
    <w:rsid w:val="1FC6415B"/>
    <w:rsid w:val="200B6F0D"/>
    <w:rsid w:val="22DF5F10"/>
    <w:rsid w:val="259E6D5D"/>
    <w:rsid w:val="25B77A71"/>
    <w:rsid w:val="27870504"/>
    <w:rsid w:val="294C4E00"/>
    <w:rsid w:val="2A9B20CD"/>
    <w:rsid w:val="2C8915A3"/>
    <w:rsid w:val="2D5357B8"/>
    <w:rsid w:val="2E746A3B"/>
    <w:rsid w:val="2FBF4CC6"/>
    <w:rsid w:val="303A53DC"/>
    <w:rsid w:val="31CD0D39"/>
    <w:rsid w:val="32452FC5"/>
    <w:rsid w:val="33AA1331"/>
    <w:rsid w:val="342417B7"/>
    <w:rsid w:val="368816D2"/>
    <w:rsid w:val="371D006C"/>
    <w:rsid w:val="37305FF2"/>
    <w:rsid w:val="37D622A5"/>
    <w:rsid w:val="39571656"/>
    <w:rsid w:val="3AE56DC8"/>
    <w:rsid w:val="3B9C637B"/>
    <w:rsid w:val="3C3F0A85"/>
    <w:rsid w:val="3EBE5330"/>
    <w:rsid w:val="413B181B"/>
    <w:rsid w:val="41662610"/>
    <w:rsid w:val="42A653BA"/>
    <w:rsid w:val="42CE18BF"/>
    <w:rsid w:val="43120CA1"/>
    <w:rsid w:val="437C611B"/>
    <w:rsid w:val="46FE7BAC"/>
    <w:rsid w:val="47347026"/>
    <w:rsid w:val="48790E7B"/>
    <w:rsid w:val="497A30FC"/>
    <w:rsid w:val="4C9A74E6"/>
    <w:rsid w:val="4DA01C46"/>
    <w:rsid w:val="4ECD328C"/>
    <w:rsid w:val="4F2E29BF"/>
    <w:rsid w:val="50D37CC2"/>
    <w:rsid w:val="50F47C38"/>
    <w:rsid w:val="511107EA"/>
    <w:rsid w:val="52A66D10"/>
    <w:rsid w:val="53C0288A"/>
    <w:rsid w:val="53C671F1"/>
    <w:rsid w:val="55C0458D"/>
    <w:rsid w:val="579E654E"/>
    <w:rsid w:val="587F428B"/>
    <w:rsid w:val="596C1F6A"/>
    <w:rsid w:val="5AFF6A1A"/>
    <w:rsid w:val="5B7E6A7C"/>
    <w:rsid w:val="5BEF1728"/>
    <w:rsid w:val="5C8D5A90"/>
    <w:rsid w:val="5CCB3019"/>
    <w:rsid w:val="5D962AF6"/>
    <w:rsid w:val="5E827495"/>
    <w:rsid w:val="5F993E84"/>
    <w:rsid w:val="60E374C3"/>
    <w:rsid w:val="60F670B5"/>
    <w:rsid w:val="622A6948"/>
    <w:rsid w:val="624518D7"/>
    <w:rsid w:val="626B73B4"/>
    <w:rsid w:val="65393A14"/>
    <w:rsid w:val="655A0B79"/>
    <w:rsid w:val="66951A6D"/>
    <w:rsid w:val="674566A0"/>
    <w:rsid w:val="67A7735B"/>
    <w:rsid w:val="67FA248B"/>
    <w:rsid w:val="695E3933"/>
    <w:rsid w:val="69D87C9F"/>
    <w:rsid w:val="6A242EE4"/>
    <w:rsid w:val="6D5B09CB"/>
    <w:rsid w:val="6E3B25AB"/>
    <w:rsid w:val="6E45554E"/>
    <w:rsid w:val="6F9F0AFF"/>
    <w:rsid w:val="70121F4E"/>
    <w:rsid w:val="70E21403"/>
    <w:rsid w:val="70E92792"/>
    <w:rsid w:val="72F50B06"/>
    <w:rsid w:val="730B2E93"/>
    <w:rsid w:val="76314622"/>
    <w:rsid w:val="77827C9A"/>
    <w:rsid w:val="785A55A3"/>
    <w:rsid w:val="7912631E"/>
    <w:rsid w:val="7A2465E9"/>
    <w:rsid w:val="7CDB3B7F"/>
    <w:rsid w:val="7DB916C3"/>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3019</Words>
  <Characters>3123</Characters>
  <Lines>0</Lines>
  <Paragraphs>0</Paragraphs>
  <TotalTime>0</TotalTime>
  <ScaleCrop>false</ScaleCrop>
  <LinksUpToDate>false</LinksUpToDate>
  <CharactersWithSpaces>3150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2022-05-10T08:17:00Z</dcterms:created>
  <dc:creator>小鱼</dc:creator>
  <cp:lastModifiedBy>小鱼</cp:lastModifiedBy>
  <cp:lastPrinted>2022-08-16T09:10:00Z</cp:lastPrinted>
  <dcterms:modified xsi:type="dcterms:W3CDTF">2022-08-19T01:18:47Z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E7CDA6B62C5D472E8914485DEE0CF3CF</vt:lpwstr>
  </property>
</Properties>
</file>