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leftMargin">
              <wp:posOffset>0</wp:posOffset>
            </wp:positionH>
            <wp:positionV relativeFrom="topMargin">
              <wp:posOffset>0</wp:posOffset>
            </wp:positionV>
            <wp:extent cx="7560310" cy="10689590"/>
            <wp:effectExtent l="0" t="0" r="2540" b="16510"/>
            <wp:wrapNone/>
            <wp:docPr id="4" name="图片 4" descr="商务局函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商务局函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zhengwen"/>
      <w:bookmarkEnd w:id="0"/>
    </w:p>
    <w:p>
      <w:pPr>
        <w:keepNext w:val="0"/>
        <w:keepLines w:val="0"/>
        <w:pageBreakBefore w:val="0"/>
        <w:widowControl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深圳市商务局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关于开展</w:t>
      </w:r>
      <w:r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商务法律服务活动之“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从美国国际贸易委员会的视角看337调查及最新变化</w:t>
      </w:r>
      <w:r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”的通知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各处室、局属单位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随着知识经济时代的到来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知识产权贸易壁垒对我国出口贸易的影响也日益加剧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337调查作为典型的国际知识产权贸易壁垒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已经成为限制我国出口贸易发展的重要手段。根据</w:t>
      </w:r>
      <w:r>
        <w:rPr>
          <w:rFonts w:hint="default" w:ascii="仿宋_GB2312" w:hAnsi="仿宋_GB2312" w:eastAsia="仿宋_GB2312"/>
          <w:sz w:val="32"/>
          <w:szCs w:val="32"/>
          <w:lang w:val="en-US" w:eastAsia="zh-CN"/>
        </w:rPr>
        <w:t>《商务部办公厅关于印发&lt;2021-2025年全国商务系统法治宣传教育工作方案&gt;的通知》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《关于强化知识产权保护的实施方案》</w:t>
      </w:r>
      <w:r>
        <w:rPr>
          <w:rFonts w:hint="default" w:ascii="仿宋_GB2312" w:hAnsi="仿宋_GB2312" w:eastAsia="仿宋_GB2312"/>
          <w:sz w:val="32"/>
          <w:szCs w:val="32"/>
          <w:lang w:val="en-US" w:eastAsia="zh-CN"/>
        </w:rPr>
        <w:t>工作要求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/>
          <w:sz w:val="32"/>
          <w:szCs w:val="32"/>
          <w:lang w:val="en-US" w:eastAsia="zh-CN"/>
        </w:rPr>
        <w:t>结合我局工作实际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/>
          <w:sz w:val="32"/>
          <w:szCs w:val="32"/>
          <w:lang w:val="en-US" w:eastAsia="zh-CN"/>
        </w:rPr>
        <w:t>拟于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5月30日（周一）</w:t>
      </w:r>
      <w:r>
        <w:rPr>
          <w:rFonts w:hint="default" w:ascii="仿宋_GB2312" w:hAnsi="仿宋_GB2312" w:eastAsia="仿宋_GB2312"/>
          <w:sz w:val="32"/>
          <w:szCs w:val="32"/>
          <w:lang w:val="en-US" w:eastAsia="zh-CN"/>
        </w:rPr>
        <w:t>开展“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从美国国际贸易委员会的视角看337调查及最新变化</w:t>
      </w:r>
      <w:r>
        <w:rPr>
          <w:rFonts w:hint="default" w:ascii="仿宋_GB2312" w:hAnsi="仿宋_GB2312" w:eastAsia="仿宋_GB2312"/>
          <w:sz w:val="32"/>
          <w:szCs w:val="32"/>
          <w:lang w:val="en-US" w:eastAsia="zh-CN"/>
        </w:rPr>
        <w:t>”商务法律服务活动，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活动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年5月</w:t>
      </w:r>
      <w:r>
        <w:rPr>
          <w:rFonts w:hint="eastAsia" w:ascii="仿宋_GB2312" w:hAnsi="仿宋_GB2312" w:eastAsia="仿宋_GB2312" w:cs="仿宋_GB2312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30日下午1</w:t>
      </w:r>
      <w:r>
        <w:rPr>
          <w:rFonts w:hint="default" w:ascii="仿宋_GB2312" w:hAnsi="仿宋_GB2312" w:eastAsia="仿宋_GB2312" w:cs="仿宋_GB2312"/>
          <w:b w:val="0"/>
          <w:bCs w:val="0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:</w:t>
      </w:r>
      <w:r>
        <w:rPr>
          <w:rFonts w:hint="default" w:ascii="仿宋_GB2312" w:hAnsi="仿宋_GB2312" w:eastAsia="仿宋_GB2312" w:cs="仿宋_GB2312"/>
          <w:b w:val="0"/>
          <w:bCs w:val="0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-17:00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二、活动方式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/>
          <w:sz w:val="32"/>
          <w:szCs w:val="32"/>
          <w:lang w:eastAsia="zh-CN"/>
        </w:rPr>
        <w:t>线上直播（直播登录方式详见附件1）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1.外经贸企业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2.局内工作人员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主题：从美国国际贸易委员会的视角看337调查及最新变化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主讲老师：</w:t>
      </w:r>
      <w:r>
        <w:rPr>
          <w:rFonts w:hint="default" w:ascii="仿宋_GB2312" w:hAnsi="仿宋_GB2312" w:eastAsia="仿宋_GB2312"/>
          <w:sz w:val="32"/>
          <w:szCs w:val="32"/>
          <w:lang w:val="en-US" w:eastAsia="zh-CN"/>
        </w:rPr>
        <w:t>扈非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，布林克斯律师事务所驻深圳代表处代表、广东省海外知识产权保护专家委员会专家、深圳市知识产权专家库成员。曾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任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华为科技有限公司的知识产权部门及英国和中国的ARM Ltd担任高级法律顾问。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、有关要求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外贸处、服贸处、合作处、电商处分别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协助邀请本领域5-10家企业报名参会。（报名参与方式详见附件2）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附件：1.直播登录方式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1600" w:firstLineChars="5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1882775</wp:posOffset>
            </wp:positionH>
            <wp:positionV relativeFrom="paragraph">
              <wp:posOffset>108585</wp:posOffset>
            </wp:positionV>
            <wp:extent cx="1452245" cy="1452245"/>
            <wp:effectExtent l="0" t="0" r="8255" b="8255"/>
            <wp:wrapTopAndBottom/>
            <wp:docPr id="3" name="图片 3" descr="511169ea6b1825d4178aa8f6eceab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11169ea6b1825d4178aa8f6eceab2c"/>
                    <pic:cNvPicPr>
                      <a:picLocks noChangeAspect="1"/>
                    </pic:cNvPicPr>
                  </pic:nvPicPr>
                  <pic:blipFill>
                    <a:blip r:embed="rId9"/>
                    <a:srcRect l="3118" t="3004" r="4677" b="4791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2.报名参与方式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1280" w:firstLineChars="4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1932940</wp:posOffset>
            </wp:positionH>
            <wp:positionV relativeFrom="paragraph">
              <wp:posOffset>198120</wp:posOffset>
            </wp:positionV>
            <wp:extent cx="1376680" cy="1376680"/>
            <wp:effectExtent l="0" t="0" r="7620" b="7620"/>
            <wp:wrapTopAndBottom/>
            <wp:docPr id="2" name="图片 2" descr="t7AIzGG_extra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7AIzGG_extraLar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        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760" w:firstLineChars="18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 深圳市商务局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1280" w:firstLineChars="4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                           2022年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1280" w:firstLineChars="4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20" w:firstLineChars="100"/>
        <w:textAlignment w:val="auto"/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（联系人：刘茜、刘丽娜，电话：88107049、88107090）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 w:firstLine="140" w:firstLineChars="50"/>
                            <w:jc w:val="both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default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10" w:leftChars="100" w:right="210" w:rightChars="100" w:firstLine="140" w:firstLineChars="50"/>
                      <w:jc w:val="both"/>
                      <w:rPr>
                        <w:rFonts w:hint="default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default" w:ascii="宋体" w:hAnsi="宋体" w:cs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D920FE"/>
    <w:multiLevelType w:val="singleLevel"/>
    <w:tmpl w:val="E4D920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kZTk4Zjc0MTE3NTYwMTcxOWZjMTk5NmRhMmRlOWYifQ=="/>
  </w:docVars>
  <w:rsids>
    <w:rsidRoot w:val="7FF60797"/>
    <w:rsid w:val="077F6EA1"/>
    <w:rsid w:val="1F5F65EE"/>
    <w:rsid w:val="4AB443EC"/>
    <w:rsid w:val="4FEFF648"/>
    <w:rsid w:val="4FFF18FB"/>
    <w:rsid w:val="57FF98E3"/>
    <w:rsid w:val="5FEB2206"/>
    <w:rsid w:val="66F7B198"/>
    <w:rsid w:val="675E25C9"/>
    <w:rsid w:val="687234C5"/>
    <w:rsid w:val="7BDC7E0B"/>
    <w:rsid w:val="7FF60797"/>
    <w:rsid w:val="B76C2921"/>
    <w:rsid w:val="BF7EF420"/>
    <w:rsid w:val="C9FB471B"/>
    <w:rsid w:val="DEBFD061"/>
    <w:rsid w:val="E7FF22BE"/>
    <w:rsid w:val="F7FE7F6C"/>
    <w:rsid w:val="FE7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562"/>
        <w:tab w:val="left" w:pos="3372"/>
        <w:tab w:val="left" w:pos="3653"/>
      </w:tabs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601</Characters>
  <Lines>0</Lines>
  <Paragraphs>0</Paragraphs>
  <TotalTime>2</TotalTime>
  <ScaleCrop>false</ScaleCrop>
  <LinksUpToDate>false</LinksUpToDate>
  <CharactersWithSpaces>649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2022-03-09T23:01:00Z</dcterms:created>
  <dc:creator>86151</dc:creator>
  <cp:lastModifiedBy>张晓琳</cp:lastModifiedBy>
  <dcterms:modified xsi:type="dcterms:W3CDTF">2022-05-26T15:25:10Z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4F008C066C3843289C6B650A0D83B522</vt:lpwstr>
  </property>
</Properties>
</file>