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附件1</w:t>
      </w:r>
    </w:p>
    <w:p>
      <w:pPr>
        <w:pStyle w:val="2"/>
        <w:rPr>
          <w:rFonts w:hint="eastAsia"/>
          <w:lang w:val="en-US" w:eastAsia="zh-CN"/>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宋体" w:eastAsia="方正小标宋简体"/>
          <w:color w:val="auto"/>
          <w:sz w:val="44"/>
          <w:szCs w:val="44"/>
          <w:highlight w:val="none"/>
        </w:rPr>
      </w:pPr>
      <w:r>
        <w:rPr>
          <w:rFonts w:hint="eastAsia" w:ascii="方正小标宋简体" w:hAnsi="宋体" w:eastAsia="方正小标宋简体"/>
          <w:color w:val="auto"/>
          <w:sz w:val="44"/>
          <w:szCs w:val="44"/>
          <w:highlight w:val="none"/>
        </w:rPr>
        <w:t>深圳市跨国公司总部企业奖励实施细则</w:t>
      </w:r>
    </w:p>
    <w:p>
      <w:pPr>
        <w:pStyle w:val="2"/>
        <w:jc w:val="cente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color w:val="auto"/>
          <w:sz w:val="32"/>
          <w:szCs w:val="32"/>
          <w:highlight w:val="none"/>
          <w:lang w:val="en-US" w:eastAsia="zh-CN"/>
        </w:rPr>
        <w:t>（征求意见稿）</w:t>
      </w:r>
    </w:p>
    <w:p>
      <w:pPr>
        <w:keepNext w:val="0"/>
        <w:keepLines w:val="0"/>
        <w:pageBreakBefore w:val="0"/>
        <w:widowControl w:val="0"/>
        <w:kinsoku/>
        <w:wordWrap/>
        <w:overflowPunct/>
        <w:topLinePunct w:val="0"/>
        <w:autoSpaceDE/>
        <w:autoSpaceDN/>
        <w:bidi w:val="0"/>
        <w:spacing w:line="560" w:lineRule="exact"/>
        <w:jc w:val="center"/>
        <w:textAlignment w:val="auto"/>
        <w:rPr>
          <w:rFonts w:ascii="宋体" w:hAnsi="宋体"/>
          <w:color w:val="auto"/>
          <w:sz w:val="44"/>
          <w:szCs w:val="44"/>
          <w:highlight w:val="none"/>
        </w:rPr>
      </w:pPr>
    </w:p>
    <w:p>
      <w:pPr>
        <w:keepNext w:val="0"/>
        <w:keepLines w:val="0"/>
        <w:pageBreakBefore w:val="0"/>
        <w:kinsoku/>
        <w:wordWrap/>
        <w:overflowPunct/>
        <w:topLinePunct w:val="0"/>
        <w:autoSpaceDE/>
        <w:autoSpaceDN/>
        <w:bidi w:val="0"/>
        <w:adjustRightInd w:val="0"/>
        <w:snapToGrid w:val="0"/>
        <w:spacing w:line="560" w:lineRule="exact"/>
        <w:ind w:left="0"/>
        <w:jc w:val="center"/>
        <w:textAlignment w:val="auto"/>
        <w:rPr>
          <w:rFonts w:hint="eastAsia" w:ascii="仿宋_GB2312" w:eastAsia="仿宋_GB2312" w:cs="Times New Roman"/>
          <w:b/>
          <w:bCs/>
          <w:color w:val="auto"/>
          <w:sz w:val="32"/>
          <w:szCs w:val="32"/>
          <w:highlight w:val="none"/>
          <w:lang w:val="en-US" w:eastAsia="zh-CN"/>
        </w:rPr>
      </w:pPr>
      <w:r>
        <w:rPr>
          <w:rFonts w:hint="eastAsia" w:ascii="黑体" w:hAnsi="黑体" w:eastAsia="黑体"/>
          <w:sz w:val="32"/>
          <w:szCs w:val="32"/>
        </w:rPr>
        <w:t>第一章  总则</w:t>
      </w:r>
    </w:p>
    <w:p>
      <w:pPr>
        <w:keepNext w:val="0"/>
        <w:keepLines w:val="0"/>
        <w:pageBreakBefore w:val="0"/>
        <w:widowControl w:val="0"/>
        <w:numPr>
          <w:ilvl w:val="0"/>
          <w:numId w:val="0"/>
        </w:numPr>
        <w:kinsoku/>
        <w:wordWrap/>
        <w:overflowPunct/>
        <w:topLinePunct w:val="0"/>
        <w:autoSpaceDE/>
        <w:autoSpaceDN/>
        <w:bidi w:val="0"/>
        <w:spacing w:line="560" w:lineRule="exact"/>
        <w:ind w:left="0" w:firstLine="643" w:firstLineChars="200"/>
        <w:textAlignment w:val="auto"/>
        <w:rPr>
          <w:rFonts w:hint="eastAsia" w:ascii="仿宋_GB2312" w:eastAsia="仿宋_GB2312"/>
          <w:color w:val="auto"/>
          <w:sz w:val="32"/>
          <w:szCs w:val="32"/>
          <w:highlight w:val="none"/>
        </w:rPr>
      </w:pPr>
      <w:r>
        <w:rPr>
          <w:rFonts w:hint="eastAsia" w:ascii="仿宋_GB2312" w:eastAsia="仿宋_GB2312"/>
          <w:b/>
          <w:bCs/>
          <w:color w:val="auto"/>
          <w:sz w:val="32"/>
          <w:szCs w:val="32"/>
          <w:highlight w:val="none"/>
          <w:lang w:val="en-US" w:eastAsia="zh-CN"/>
        </w:rPr>
        <w:t>第一条</w:t>
      </w:r>
      <w:r>
        <w:rPr>
          <w:rFonts w:hint="eastAsia" w:ascii="仿宋_GB2312" w:eastAsia="仿宋_GB2312" w:cs="Times New Roman"/>
          <w:b/>
          <w:bCs/>
          <w:color w:val="auto"/>
          <w:sz w:val="32"/>
          <w:szCs w:val="32"/>
          <w:highlight w:val="none"/>
        </w:rPr>
        <w:t xml:space="preserve"> </w:t>
      </w:r>
      <w:r>
        <w:rPr>
          <w:rFonts w:hint="eastAsia" w:ascii="仿宋_GB2312" w:eastAsia="仿宋_GB2312"/>
          <w:color w:val="auto"/>
          <w:sz w:val="32"/>
          <w:szCs w:val="32"/>
          <w:highlight w:val="none"/>
          <w:lang w:val="en-US" w:eastAsia="zh-CN"/>
        </w:rPr>
        <w:t xml:space="preserve"> 为贯彻落实</w:t>
      </w:r>
      <w:r>
        <w:rPr>
          <w:rFonts w:hint="eastAsia" w:ascii="仿宋_GB2312" w:eastAsia="仿宋_GB2312"/>
          <w:color w:val="auto"/>
          <w:sz w:val="32"/>
          <w:szCs w:val="32"/>
          <w:highlight w:val="none"/>
        </w:rPr>
        <w:t>《深圳市鼓励跨国公司设立总部企业办法》（深府办规〔2021〕2号</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以下简称《跨总办法》</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w:t>
      </w:r>
      <w:r>
        <w:rPr>
          <w:rFonts w:hint="eastAsia" w:ascii="仿宋_GB2312" w:hAnsi="仿宋_GB2312" w:eastAsia="仿宋_GB2312" w:cs="仿宋_GB2312"/>
          <w:sz w:val="32"/>
          <w:szCs w:val="32"/>
        </w:rPr>
        <w:t>鼓励和引进更多跨国公司在深圳设立地区总部和具有总部功能的机构，</w:t>
      </w:r>
      <w:r>
        <w:rPr>
          <w:rFonts w:hint="eastAsia" w:ascii="仿宋_GB2312" w:eastAsia="仿宋_GB2312"/>
          <w:color w:val="auto"/>
          <w:sz w:val="32"/>
          <w:szCs w:val="32"/>
          <w:highlight w:val="none"/>
        </w:rPr>
        <w:t>规范专项资金的使用和管理，提高财政资金使用效益，根据《深圳市市级财政专项资金管理办法》（深府规〔2018〕12号）和《深圳市商务发展专项资金管理办法》（深商务规〔2020〕2号</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以下简称《管理办法》</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结合工作实际</w:t>
      </w:r>
      <w:r>
        <w:rPr>
          <w:rFonts w:hint="eastAsia" w:ascii="仿宋_GB2312" w:eastAsia="仿宋_GB2312"/>
          <w:color w:val="auto"/>
          <w:sz w:val="32"/>
          <w:szCs w:val="32"/>
          <w:highlight w:val="none"/>
        </w:rPr>
        <w:t>，制订本</w:t>
      </w:r>
      <w:r>
        <w:rPr>
          <w:rFonts w:hint="eastAsia" w:ascii="仿宋_GB2312" w:eastAsia="仿宋_GB2312"/>
          <w:color w:val="auto"/>
          <w:sz w:val="32"/>
          <w:szCs w:val="32"/>
          <w:highlight w:val="none"/>
          <w:lang w:val="en-US" w:eastAsia="zh-CN"/>
        </w:rPr>
        <w:t>实施细则</w:t>
      </w:r>
      <w:r>
        <w:rPr>
          <w:rFonts w:hint="eastAsia" w:ascii="仿宋_GB2312" w:eastAsia="仿宋_GB2312"/>
          <w:color w:val="auto"/>
          <w:sz w:val="32"/>
          <w:szCs w:val="32"/>
          <w:highlight w:val="none"/>
        </w:rPr>
        <w:t>。</w:t>
      </w:r>
    </w:p>
    <w:p>
      <w:pPr>
        <w:keepNext w:val="0"/>
        <w:keepLines w:val="0"/>
        <w:pageBreakBefore w:val="0"/>
        <w:widowControl w:val="0"/>
        <w:kinsoku/>
        <w:wordWrap/>
        <w:overflowPunct/>
        <w:topLinePunct w:val="0"/>
        <w:autoSpaceDE/>
        <w:autoSpaceDN/>
        <w:bidi w:val="0"/>
        <w:spacing w:line="560" w:lineRule="exact"/>
        <w:ind w:left="0" w:firstLine="630" w:firstLineChars="196"/>
        <w:textAlignment w:val="auto"/>
        <w:rPr>
          <w:rFonts w:hint="eastAsia" w:ascii="仿宋_GB2312" w:eastAsia="仿宋_GB2312"/>
          <w:b w:val="0"/>
          <w:bCs w:val="0"/>
          <w:color w:val="auto"/>
          <w:sz w:val="32"/>
          <w:szCs w:val="32"/>
          <w:highlight w:val="none"/>
          <w:lang w:eastAsia="zh-CN"/>
        </w:rPr>
      </w:pPr>
      <w:r>
        <w:rPr>
          <w:rFonts w:hint="eastAsia" w:ascii="仿宋_GB2312" w:eastAsia="仿宋_GB2312"/>
          <w:b/>
          <w:bCs/>
          <w:color w:val="auto"/>
          <w:sz w:val="32"/>
          <w:szCs w:val="32"/>
          <w:highlight w:val="none"/>
          <w:lang w:val="en-US" w:eastAsia="zh-CN"/>
        </w:rPr>
        <w:t>第二条</w:t>
      </w:r>
      <w:r>
        <w:rPr>
          <w:rFonts w:hint="eastAsia" w:ascii="仿宋_GB2312" w:eastAsia="仿宋_GB2312"/>
          <w:b w:val="0"/>
          <w:bCs w:val="0"/>
          <w:color w:val="auto"/>
          <w:sz w:val="32"/>
          <w:szCs w:val="32"/>
          <w:highlight w:val="none"/>
        </w:rPr>
        <w:t xml:space="preserve">  本实施细则所称奖励资金，是指由市级财政预算安排，具体用于奖励符合</w:t>
      </w:r>
      <w:r>
        <w:rPr>
          <w:rFonts w:hint="eastAsia" w:ascii="仿宋_GB2312" w:eastAsia="仿宋_GB2312"/>
          <w:b w:val="0"/>
          <w:bCs w:val="0"/>
          <w:color w:val="auto"/>
          <w:sz w:val="32"/>
          <w:szCs w:val="32"/>
          <w:highlight w:val="none"/>
          <w:lang w:val="en-US" w:eastAsia="zh-CN"/>
        </w:rPr>
        <w:t>《</w:t>
      </w:r>
      <w:r>
        <w:rPr>
          <w:rFonts w:hint="eastAsia" w:ascii="仿宋_GB2312" w:eastAsia="仿宋_GB2312"/>
          <w:color w:val="auto"/>
          <w:sz w:val="32"/>
          <w:szCs w:val="32"/>
          <w:highlight w:val="none"/>
          <w:lang w:val="en-US" w:eastAsia="zh-CN"/>
        </w:rPr>
        <w:t>跨总办法</w:t>
      </w:r>
      <w:r>
        <w:rPr>
          <w:rFonts w:hint="eastAsia" w:ascii="仿宋_GB2312" w:eastAsia="仿宋_GB2312"/>
          <w:b w:val="0"/>
          <w:bCs w:val="0"/>
          <w:color w:val="auto"/>
          <w:sz w:val="32"/>
          <w:szCs w:val="32"/>
          <w:highlight w:val="none"/>
          <w:lang w:val="en-US" w:eastAsia="zh-CN"/>
        </w:rPr>
        <w:t>》有效期内</w:t>
      </w:r>
      <w:r>
        <w:rPr>
          <w:rFonts w:hint="eastAsia" w:ascii="仿宋_GB2312" w:eastAsia="仿宋_GB2312"/>
          <w:b w:val="0"/>
          <w:bCs w:val="0"/>
          <w:color w:val="auto"/>
          <w:sz w:val="32"/>
          <w:szCs w:val="32"/>
          <w:highlight w:val="none"/>
        </w:rPr>
        <w:t>深圳市跨国公司总部企业新设</w:t>
      </w:r>
      <w:r>
        <w:rPr>
          <w:rFonts w:hint="eastAsia" w:ascii="仿宋_GB2312" w:eastAsia="仿宋_GB2312"/>
          <w:b w:val="0"/>
          <w:bCs w:val="0"/>
          <w:color w:val="auto"/>
          <w:sz w:val="32"/>
          <w:szCs w:val="32"/>
          <w:highlight w:val="none"/>
          <w:lang w:val="en-US" w:eastAsia="zh-CN"/>
        </w:rPr>
        <w:t>或</w:t>
      </w:r>
      <w:r>
        <w:rPr>
          <w:rFonts w:hint="eastAsia" w:ascii="仿宋_GB2312" w:eastAsia="仿宋_GB2312"/>
          <w:b w:val="0"/>
          <w:bCs w:val="0"/>
          <w:color w:val="auto"/>
          <w:sz w:val="32"/>
          <w:szCs w:val="32"/>
          <w:highlight w:val="none"/>
        </w:rPr>
        <w:t>增资项目</w:t>
      </w:r>
      <w:r>
        <w:rPr>
          <w:rFonts w:hint="eastAsia" w:ascii="仿宋_GB2312" w:eastAsia="仿宋_GB2312"/>
          <w:b w:val="0"/>
          <w:bCs w:val="0"/>
          <w:color w:val="auto"/>
          <w:sz w:val="32"/>
          <w:szCs w:val="32"/>
          <w:highlight w:val="none"/>
          <w:lang w:val="en-US" w:eastAsia="zh-CN"/>
        </w:rPr>
        <w:t>的资金</w:t>
      </w:r>
      <w:r>
        <w:rPr>
          <w:rFonts w:hint="eastAsia" w:ascii="仿宋_GB2312" w:eastAsia="仿宋_GB2312"/>
          <w:b w:val="0"/>
          <w:bCs w:val="0"/>
          <w:color w:val="auto"/>
          <w:sz w:val="32"/>
          <w:szCs w:val="32"/>
          <w:highlight w:val="none"/>
        </w:rPr>
        <w:t>。</w:t>
      </w:r>
    </w:p>
    <w:p>
      <w:pPr>
        <w:keepNext w:val="0"/>
        <w:keepLines w:val="0"/>
        <w:pageBreakBefore w:val="0"/>
        <w:widowControl w:val="0"/>
        <w:kinsoku/>
        <w:wordWrap/>
        <w:overflowPunct/>
        <w:topLinePunct w:val="0"/>
        <w:autoSpaceDE/>
        <w:autoSpaceDN/>
        <w:bidi w:val="0"/>
        <w:spacing w:line="560" w:lineRule="exact"/>
        <w:ind w:left="0" w:firstLine="643" w:firstLineChars="200"/>
        <w:textAlignment w:val="auto"/>
        <w:rPr>
          <w:rFonts w:hint="eastAsia" w:ascii="仿宋_GB2312" w:eastAsia="仿宋_GB2312"/>
          <w:b w:val="0"/>
          <w:bCs w:val="0"/>
          <w:color w:val="auto"/>
          <w:sz w:val="32"/>
          <w:szCs w:val="32"/>
          <w:highlight w:val="none"/>
          <w:lang w:val="en-US" w:eastAsia="zh-CN"/>
        </w:rPr>
      </w:pPr>
      <w:r>
        <w:rPr>
          <w:rFonts w:hint="eastAsia" w:ascii="仿宋_GB2312" w:eastAsia="仿宋_GB2312"/>
          <w:b/>
          <w:bCs/>
          <w:color w:val="auto"/>
          <w:sz w:val="32"/>
          <w:szCs w:val="32"/>
          <w:highlight w:val="none"/>
          <w:lang w:val="en-US" w:eastAsia="zh-CN"/>
        </w:rPr>
        <w:t xml:space="preserve">第三条  </w:t>
      </w:r>
      <w:r>
        <w:rPr>
          <w:rFonts w:hint="eastAsia" w:ascii="仿宋_GB2312" w:eastAsia="仿宋_GB2312"/>
          <w:b w:val="0"/>
          <w:bCs w:val="0"/>
          <w:color w:val="auto"/>
          <w:sz w:val="32"/>
          <w:szCs w:val="32"/>
          <w:highlight w:val="none"/>
          <w:lang w:val="en-US" w:eastAsia="zh-CN"/>
        </w:rPr>
        <w:t>资金使用管理严格按照《管理办法》，遵循绩效优行、权责明确、标准科学、公平公开、规范管理的原则。</w:t>
      </w:r>
    </w:p>
    <w:p>
      <w:pPr>
        <w:pStyle w:val="4"/>
        <w:keepNext w:val="0"/>
        <w:keepLines w:val="0"/>
        <w:pageBreakBefore w:val="0"/>
        <w:kinsoku/>
        <w:wordWrap/>
        <w:overflowPunct/>
        <w:topLinePunct w:val="0"/>
        <w:autoSpaceDE/>
        <w:autoSpaceDN/>
        <w:bidi w:val="0"/>
        <w:spacing w:line="560" w:lineRule="exact"/>
        <w:ind w:left="0"/>
        <w:textAlignment w:val="auto"/>
        <w:rPr>
          <w:rFonts w:hint="eastAsia"/>
          <w:highlight w:val="none"/>
          <w:lang w:val="en-US" w:eastAsia="zh-CN"/>
        </w:rPr>
      </w:pPr>
    </w:p>
    <w:p>
      <w:pPr>
        <w:keepNext w:val="0"/>
        <w:keepLines w:val="0"/>
        <w:pageBreakBefore w:val="0"/>
        <w:kinsoku/>
        <w:wordWrap/>
        <w:overflowPunct/>
        <w:topLinePunct w:val="0"/>
        <w:autoSpaceDE/>
        <w:autoSpaceDN/>
        <w:bidi w:val="0"/>
        <w:adjustRightInd w:val="0"/>
        <w:snapToGrid w:val="0"/>
        <w:spacing w:line="560" w:lineRule="exact"/>
        <w:ind w:left="0"/>
        <w:jc w:val="center"/>
        <w:textAlignment w:val="auto"/>
        <w:rPr>
          <w:rFonts w:hint="eastAsia"/>
          <w:color w:val="auto"/>
          <w:highlight w:val="none"/>
          <w:lang w:val="en-US" w:eastAsia="zh-CN"/>
        </w:rPr>
      </w:pPr>
      <w:r>
        <w:rPr>
          <w:rFonts w:hint="eastAsia" w:ascii="黑体" w:hAnsi="黑体" w:eastAsia="黑体"/>
          <w:color w:val="auto"/>
          <w:sz w:val="32"/>
          <w:szCs w:val="32"/>
          <w:highlight w:val="none"/>
        </w:rPr>
        <w:t>第</w:t>
      </w:r>
      <w:r>
        <w:rPr>
          <w:rFonts w:hint="eastAsia" w:ascii="黑体" w:hAnsi="黑体" w:eastAsia="黑体"/>
          <w:color w:val="auto"/>
          <w:sz w:val="32"/>
          <w:szCs w:val="32"/>
          <w:highlight w:val="none"/>
          <w:lang w:val="en-US" w:eastAsia="zh-CN"/>
        </w:rPr>
        <w:t>二</w:t>
      </w:r>
      <w:r>
        <w:rPr>
          <w:rFonts w:hint="eastAsia" w:ascii="黑体" w:hAnsi="黑体" w:eastAsia="黑体"/>
          <w:color w:val="auto"/>
          <w:sz w:val="32"/>
          <w:szCs w:val="32"/>
          <w:highlight w:val="none"/>
        </w:rPr>
        <w:t>章  申报条件</w:t>
      </w:r>
    </w:p>
    <w:p>
      <w:pPr>
        <w:keepNext w:val="0"/>
        <w:keepLines w:val="0"/>
        <w:pageBreakBefore w:val="0"/>
        <w:widowControl w:val="0"/>
        <w:kinsoku/>
        <w:wordWrap/>
        <w:overflowPunct/>
        <w:topLinePunct w:val="0"/>
        <w:autoSpaceDE/>
        <w:autoSpaceDN/>
        <w:bidi w:val="0"/>
        <w:spacing w:line="560" w:lineRule="exact"/>
        <w:ind w:left="0" w:firstLine="643" w:firstLineChars="200"/>
        <w:textAlignment w:val="auto"/>
        <w:rPr>
          <w:rFonts w:hint="eastAsia" w:ascii="仿宋_GB2312" w:eastAsia="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第四条</w:t>
      </w:r>
      <w:r>
        <w:rPr>
          <w:rFonts w:hint="eastAsia" w:ascii="黑体" w:hAnsi="黑体" w:eastAsia="黑体"/>
          <w:color w:val="auto"/>
          <w:sz w:val="32"/>
          <w:szCs w:val="32"/>
          <w:highlight w:val="none"/>
          <w:lang w:val="en-US" w:eastAsia="zh-CN"/>
        </w:rPr>
        <w:t xml:space="preserve"> </w:t>
      </w:r>
      <w:r>
        <w:rPr>
          <w:rFonts w:hint="eastAsia" w:ascii="仿宋_GB2312" w:eastAsia="仿宋_GB2312"/>
          <w:b/>
          <w:bCs w:val="0"/>
          <w:color w:val="auto"/>
          <w:sz w:val="32"/>
          <w:szCs w:val="32"/>
          <w:highlight w:val="none"/>
          <w:lang w:val="en-US" w:eastAsia="zh-CN"/>
        </w:rPr>
        <w:t xml:space="preserve"> </w:t>
      </w:r>
      <w:r>
        <w:rPr>
          <w:rFonts w:hint="eastAsia" w:ascii="仿宋_GB2312" w:eastAsia="仿宋_GB2312"/>
          <w:color w:val="auto"/>
          <w:sz w:val="32"/>
          <w:szCs w:val="32"/>
          <w:highlight w:val="none"/>
          <w:lang w:eastAsia="zh-CN"/>
        </w:rPr>
        <w:t>申报单位</w:t>
      </w:r>
      <w:r>
        <w:rPr>
          <w:rFonts w:hint="eastAsia" w:ascii="仿宋_GB2312" w:eastAsia="仿宋_GB2312"/>
          <w:color w:val="auto"/>
          <w:sz w:val="32"/>
          <w:szCs w:val="32"/>
          <w:highlight w:val="none"/>
        </w:rPr>
        <w:t>应同时符合以</w:t>
      </w:r>
      <w:r>
        <w:rPr>
          <w:rFonts w:hint="eastAsia" w:ascii="仿宋_GB2312" w:eastAsia="仿宋_GB2312"/>
          <w:color w:val="auto"/>
          <w:sz w:val="32"/>
          <w:szCs w:val="32"/>
          <w:highlight w:val="none"/>
          <w:u w:val="none"/>
        </w:rPr>
        <w:t>下条件</w:t>
      </w:r>
      <w:r>
        <w:rPr>
          <w:rFonts w:hint="eastAsia" w:ascii="仿宋_GB2312" w:eastAsia="仿宋_GB2312"/>
          <w:color w:val="auto"/>
          <w:sz w:val="32"/>
          <w:szCs w:val="32"/>
          <w:highlight w:val="none"/>
        </w:rPr>
        <w:t>：</w:t>
      </w:r>
    </w:p>
    <w:p>
      <w:pPr>
        <w:keepNext w:val="0"/>
        <w:keepLines w:val="0"/>
        <w:pageBreakBefore w:val="0"/>
        <w:widowControl w:val="0"/>
        <w:kinsoku/>
        <w:wordWrap/>
        <w:overflowPunct/>
        <w:topLinePunct w:val="0"/>
        <w:autoSpaceDE/>
        <w:autoSpaceDN/>
        <w:bidi w:val="0"/>
        <w:spacing w:line="560" w:lineRule="exact"/>
        <w:ind w:left="0"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（一）基础条件</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1.已被认定为深圳市跨国公司总部企业并通过年检；</w:t>
      </w:r>
    </w:p>
    <w:p>
      <w:pPr>
        <w:keepNext w:val="0"/>
        <w:keepLines w:val="0"/>
        <w:pageBreakBefore w:val="0"/>
        <w:widowControl w:val="0"/>
        <w:numPr>
          <w:ilvl w:val="0"/>
          <w:numId w:val="0"/>
        </w:numPr>
        <w:kinsoku/>
        <w:wordWrap/>
        <w:overflowPunct/>
        <w:topLinePunct w:val="0"/>
        <w:autoSpaceDE/>
        <w:autoSpaceDN/>
        <w:bidi w:val="0"/>
        <w:spacing w:line="560" w:lineRule="exact"/>
        <w:ind w:left="0" w:firstLine="640" w:firstLineChars="200"/>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w:t>
      </w:r>
      <w:r>
        <w:rPr>
          <w:rFonts w:hint="eastAsia" w:ascii="仿宋_GB2312" w:eastAsia="仿宋_GB2312"/>
          <w:b w:val="0"/>
          <w:bCs w:val="0"/>
          <w:color w:val="auto"/>
          <w:sz w:val="32"/>
          <w:szCs w:val="32"/>
          <w:highlight w:val="none"/>
          <w:lang w:eastAsia="zh-CN"/>
        </w:rPr>
        <w:t>申报单位未被国家、省、市相关部门纳入严重失信主体名单实施失信惩戒，明确限制申请财政性资金项目、政策性资金和财税政策扶持，且在限制期内；</w:t>
      </w:r>
    </w:p>
    <w:p>
      <w:pPr>
        <w:spacing w:line="560" w:lineRule="exact"/>
        <w:ind w:firstLine="630"/>
        <w:rPr>
          <w:rFonts w:ascii="仿宋_GB2312" w:eastAsia="仿宋_GB2312"/>
          <w:color w:val="auto"/>
          <w:sz w:val="32"/>
          <w:szCs w:val="32"/>
          <w:highlight w:val="none"/>
        </w:rPr>
      </w:pPr>
      <w:r>
        <w:rPr>
          <w:rFonts w:hint="eastAsia" w:ascii="仿宋_GB2312" w:eastAsia="仿宋_GB2312"/>
          <w:color w:val="auto"/>
          <w:sz w:val="32"/>
          <w:szCs w:val="32"/>
          <w:highlight w:val="none"/>
        </w:rPr>
        <w:t>3.申报单位按要求向商务主管部门报送外资相关数据和信息。</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color w:val="auto"/>
          <w:highlight w:val="none"/>
          <w:lang w:val="en-US" w:eastAsia="zh-CN"/>
        </w:rPr>
      </w:pPr>
      <w:r>
        <w:rPr>
          <w:rFonts w:hint="eastAsia" w:ascii="仿宋_GB2312" w:eastAsia="仿宋_GB2312"/>
          <w:color w:val="auto"/>
          <w:sz w:val="32"/>
          <w:szCs w:val="32"/>
          <w:highlight w:val="none"/>
          <w:lang w:eastAsia="zh-CN"/>
        </w:rPr>
        <w:t>（二）专项条件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1.跨国公司总部企业申报奖励对应的新设或增资金额，应在《跨总办法》实施有效期内完成到资，并应</w:t>
      </w:r>
      <w:r>
        <w:rPr>
          <w:rFonts w:hint="eastAsia" w:ascii="仿宋_GB2312" w:eastAsia="仿宋_GB2312"/>
          <w:color w:val="auto"/>
          <w:sz w:val="32"/>
          <w:szCs w:val="32"/>
          <w:highlight w:val="none"/>
        </w:rPr>
        <w:t>纳入实际外资统计（指商务部口径，下同）</w:t>
      </w:r>
      <w:r>
        <w:rPr>
          <w:rFonts w:hint="eastAsia" w:ascii="仿宋_GB2312" w:eastAsia="仿宋_GB2312"/>
          <w:color w:val="auto"/>
          <w:sz w:val="32"/>
          <w:szCs w:val="32"/>
          <w:highlight w:val="none"/>
          <w:lang w:val="en-US"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2.纳入实际外资统计的金额须超过2000万美元（含2000万美元），并以自然年度内纳入实际外资统计的金额为基数进行计算；</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3.申报奖励对应的合同外资金额单次须超过2000万美元（含2000万美元），实际外资金额应与申报奖励的跨国公司总部企业新设或增资时产生的合同外资相匹配。</w:t>
      </w:r>
    </w:p>
    <w:p>
      <w:pPr>
        <w:pStyle w:val="2"/>
        <w:ind w:firstLine="643" w:firstLineChars="200"/>
        <w:rPr>
          <w:rFonts w:hint="default"/>
          <w:highlight w:val="none"/>
          <w:lang w:val="en-US"/>
        </w:rPr>
      </w:pPr>
      <w:r>
        <w:rPr>
          <w:rFonts w:hint="eastAsia" w:ascii="仿宋_GB2312" w:hAnsi="仿宋_GB2312" w:eastAsia="仿宋_GB2312" w:cs="仿宋_GB2312"/>
          <w:b/>
          <w:bCs/>
          <w:sz w:val="32"/>
          <w:szCs w:val="32"/>
          <w:highlight w:val="none"/>
          <w:lang w:val="en-US" w:eastAsia="zh-CN"/>
        </w:rPr>
        <w:t>第五条</w:t>
      </w:r>
      <w:r>
        <w:rPr>
          <w:rFonts w:hint="eastAsia" w:ascii="黑体" w:hAnsi="黑体" w:eastAsia="黑体"/>
          <w:sz w:val="32"/>
          <w:szCs w:val="32"/>
          <w:highlight w:val="none"/>
          <w:lang w:val="en-US" w:eastAsia="zh-CN"/>
        </w:rPr>
        <w:t xml:space="preserve">  </w:t>
      </w:r>
      <w:r>
        <w:rPr>
          <w:rFonts w:hint="eastAsia" w:ascii="仿宋_GB2312" w:hAnsi="Calibri" w:eastAsia="仿宋_GB2312" w:cs="Times New Roman"/>
          <w:b w:val="0"/>
          <w:bCs/>
          <w:color w:val="auto"/>
          <w:kern w:val="2"/>
          <w:sz w:val="32"/>
          <w:szCs w:val="32"/>
          <w:highlight w:val="none"/>
          <w:lang w:val="en-US" w:eastAsia="zh-CN" w:bidi="ar-SA"/>
        </w:rPr>
        <w:t>除</w:t>
      </w:r>
      <w:r>
        <w:rPr>
          <w:rFonts w:hint="eastAsia" w:ascii="仿宋_GB2312" w:eastAsia="仿宋_GB2312" w:cs="Times New Roman"/>
          <w:b w:val="0"/>
          <w:bCs/>
          <w:color w:val="auto"/>
          <w:kern w:val="2"/>
          <w:sz w:val="32"/>
          <w:szCs w:val="32"/>
          <w:highlight w:val="none"/>
          <w:lang w:val="en-US" w:eastAsia="zh-CN" w:bidi="ar-SA"/>
        </w:rPr>
        <w:t>申报</w:t>
      </w:r>
      <w:r>
        <w:rPr>
          <w:rFonts w:hint="eastAsia" w:ascii="仿宋_GB2312" w:hAnsi="Calibri" w:eastAsia="仿宋_GB2312" w:cs="Times New Roman"/>
          <w:b w:val="0"/>
          <w:bCs/>
          <w:color w:val="auto"/>
          <w:kern w:val="2"/>
          <w:sz w:val="32"/>
          <w:szCs w:val="32"/>
          <w:highlight w:val="none"/>
          <w:lang w:val="en-US" w:eastAsia="zh-CN" w:bidi="ar-SA"/>
        </w:rPr>
        <w:t>条件外，申报</w:t>
      </w:r>
      <w:r>
        <w:rPr>
          <w:rFonts w:hint="eastAsia" w:ascii="仿宋_GB2312" w:eastAsia="仿宋_GB2312" w:cs="Times New Roman"/>
          <w:b w:val="0"/>
          <w:bCs/>
          <w:color w:val="auto"/>
          <w:kern w:val="2"/>
          <w:sz w:val="32"/>
          <w:szCs w:val="32"/>
          <w:highlight w:val="none"/>
          <w:lang w:val="en-US" w:eastAsia="zh-CN" w:bidi="ar-SA"/>
        </w:rPr>
        <w:t>单位</w:t>
      </w:r>
      <w:r>
        <w:rPr>
          <w:rFonts w:hint="eastAsia" w:ascii="仿宋_GB2312" w:hAnsi="Calibri" w:eastAsia="仿宋_GB2312" w:cs="Times New Roman"/>
          <w:b w:val="0"/>
          <w:bCs/>
          <w:color w:val="auto"/>
          <w:kern w:val="2"/>
          <w:sz w:val="32"/>
          <w:szCs w:val="32"/>
          <w:highlight w:val="none"/>
          <w:lang w:val="en-US" w:eastAsia="zh-CN" w:bidi="ar-SA"/>
        </w:rPr>
        <w:t>还应具备本实施细则第三章所列条件要求。</w:t>
      </w:r>
    </w:p>
    <w:p>
      <w:pPr>
        <w:pStyle w:val="4"/>
        <w:keepNext w:val="0"/>
        <w:keepLines w:val="0"/>
        <w:pageBreakBefore w:val="0"/>
        <w:kinsoku/>
        <w:wordWrap/>
        <w:overflowPunct/>
        <w:topLinePunct w:val="0"/>
        <w:autoSpaceDE/>
        <w:autoSpaceDN/>
        <w:bidi w:val="0"/>
        <w:spacing w:line="560" w:lineRule="exact"/>
        <w:ind w:left="0" w:firstLine="0" w:firstLineChars="0"/>
        <w:textAlignment w:val="auto"/>
        <w:rPr>
          <w:highlight w:val="none"/>
        </w:rPr>
      </w:pPr>
    </w:p>
    <w:p>
      <w:pPr>
        <w:keepNext w:val="0"/>
        <w:keepLines w:val="0"/>
        <w:pageBreakBefore w:val="0"/>
        <w:kinsoku/>
        <w:wordWrap/>
        <w:overflowPunct/>
        <w:topLinePunct w:val="0"/>
        <w:autoSpaceDE/>
        <w:autoSpaceDN/>
        <w:bidi w:val="0"/>
        <w:adjustRightInd w:val="0"/>
        <w:snapToGrid w:val="0"/>
        <w:spacing w:line="560" w:lineRule="exact"/>
        <w:ind w:left="0"/>
        <w:jc w:val="center"/>
        <w:textAlignment w:val="auto"/>
        <w:rPr>
          <w:highlight w:val="none"/>
        </w:rPr>
      </w:pPr>
      <w:r>
        <w:rPr>
          <w:rFonts w:hint="eastAsia" w:ascii="黑体" w:hAnsi="黑体" w:eastAsia="黑体"/>
          <w:sz w:val="32"/>
          <w:szCs w:val="32"/>
          <w:highlight w:val="none"/>
        </w:rPr>
        <w:t>第</w:t>
      </w:r>
      <w:r>
        <w:rPr>
          <w:rFonts w:hint="eastAsia" w:ascii="黑体" w:hAnsi="黑体" w:eastAsia="黑体"/>
          <w:sz w:val="32"/>
          <w:szCs w:val="32"/>
          <w:highlight w:val="none"/>
          <w:lang w:val="en-US" w:eastAsia="zh-CN"/>
        </w:rPr>
        <w:t>三</w:t>
      </w:r>
      <w:r>
        <w:rPr>
          <w:rFonts w:hint="eastAsia" w:ascii="黑体" w:hAnsi="黑体" w:eastAsia="黑体"/>
          <w:sz w:val="32"/>
          <w:szCs w:val="32"/>
          <w:highlight w:val="none"/>
        </w:rPr>
        <w:t xml:space="preserve">章  </w:t>
      </w:r>
      <w:r>
        <w:rPr>
          <w:rFonts w:hint="eastAsia" w:ascii="黑体" w:hAnsi="黑体" w:eastAsia="黑体"/>
          <w:sz w:val="32"/>
          <w:szCs w:val="32"/>
          <w:highlight w:val="none"/>
          <w:lang w:val="en-US" w:eastAsia="zh-CN"/>
        </w:rPr>
        <w:t>支持方式、内容</w:t>
      </w:r>
      <w:r>
        <w:rPr>
          <w:rFonts w:hint="eastAsia" w:ascii="黑体" w:hAnsi="黑体" w:eastAsia="黑体"/>
          <w:sz w:val="32"/>
          <w:szCs w:val="32"/>
          <w:highlight w:val="none"/>
        </w:rPr>
        <w:t>和标准</w:t>
      </w:r>
    </w:p>
    <w:p>
      <w:pPr>
        <w:keepNext w:val="0"/>
        <w:keepLines w:val="0"/>
        <w:pageBreakBefore w:val="0"/>
        <w:widowControl w:val="0"/>
        <w:kinsoku/>
        <w:wordWrap/>
        <w:overflowPunct/>
        <w:topLinePunct w:val="0"/>
        <w:autoSpaceDE/>
        <w:autoSpaceDN/>
        <w:bidi w:val="0"/>
        <w:spacing w:line="560" w:lineRule="exact"/>
        <w:ind w:left="0" w:firstLine="643" w:firstLineChars="200"/>
        <w:textAlignment w:val="auto"/>
        <w:rPr>
          <w:rFonts w:hint="eastAsia" w:ascii="仿宋_GB2312" w:eastAsia="仿宋_GB2312"/>
          <w:color w:val="auto"/>
          <w:sz w:val="32"/>
          <w:szCs w:val="32"/>
          <w:highlight w:val="none"/>
        </w:rPr>
      </w:pPr>
      <w:r>
        <w:rPr>
          <w:rFonts w:hint="eastAsia" w:ascii="仿宋_GB2312" w:hAnsi="仿宋_GB2312" w:eastAsia="仿宋_GB2312" w:cs="仿宋_GB2312"/>
          <w:b/>
          <w:bCs/>
          <w:kern w:val="2"/>
          <w:sz w:val="32"/>
          <w:szCs w:val="32"/>
          <w:highlight w:val="none"/>
          <w:lang w:val="en-US" w:eastAsia="zh-CN" w:bidi="ar-SA"/>
        </w:rPr>
        <w:t>第六条</w:t>
      </w:r>
      <w:r>
        <w:rPr>
          <w:rFonts w:hint="eastAsia" w:ascii="仿宋_GB2312" w:eastAsia="仿宋_GB2312"/>
          <w:b/>
          <w:color w:val="auto"/>
          <w:sz w:val="32"/>
          <w:szCs w:val="32"/>
          <w:highlight w:val="none"/>
        </w:rPr>
        <w:t xml:space="preserve">  </w:t>
      </w:r>
      <w:r>
        <w:rPr>
          <w:rFonts w:hint="eastAsia" w:ascii="仿宋_GB2312" w:eastAsia="仿宋_GB2312"/>
          <w:b w:val="0"/>
          <w:bCs/>
          <w:color w:val="auto"/>
          <w:sz w:val="32"/>
          <w:szCs w:val="32"/>
          <w:highlight w:val="none"/>
          <w:lang w:eastAsia="zh-CN"/>
        </w:rPr>
        <w:t>支持方式为</w:t>
      </w:r>
      <w:r>
        <w:rPr>
          <w:rFonts w:hint="eastAsia" w:ascii="仿宋_GB2312" w:eastAsia="仿宋_GB2312"/>
          <w:b w:val="0"/>
          <w:bCs/>
          <w:color w:val="auto"/>
          <w:sz w:val="32"/>
          <w:szCs w:val="32"/>
          <w:highlight w:val="none"/>
        </w:rPr>
        <w:t>事后奖</w:t>
      </w:r>
      <w:r>
        <w:rPr>
          <w:rFonts w:hint="eastAsia" w:ascii="仿宋_GB2312" w:eastAsia="仿宋_GB2312"/>
          <w:b w:val="0"/>
          <w:bCs/>
          <w:color w:val="auto"/>
          <w:sz w:val="32"/>
          <w:szCs w:val="32"/>
          <w:highlight w:val="none"/>
          <w:lang w:eastAsia="zh-CN"/>
        </w:rPr>
        <w:t>励</w:t>
      </w:r>
      <w:r>
        <w:rPr>
          <w:rFonts w:hint="eastAsia" w:ascii="仿宋_GB2312" w:eastAsia="仿宋_GB2312"/>
          <w:b w:val="0"/>
          <w:bCs/>
          <w:color w:val="auto"/>
          <w:sz w:val="32"/>
          <w:szCs w:val="32"/>
          <w:highlight w:val="none"/>
        </w:rPr>
        <w:t>。</w:t>
      </w:r>
    </w:p>
    <w:p>
      <w:pPr>
        <w:keepNext w:val="0"/>
        <w:keepLines w:val="0"/>
        <w:pageBreakBefore w:val="0"/>
        <w:widowControl w:val="0"/>
        <w:kinsoku/>
        <w:wordWrap/>
        <w:overflowPunct/>
        <w:topLinePunct w:val="0"/>
        <w:autoSpaceDE/>
        <w:autoSpaceDN/>
        <w:bidi w:val="0"/>
        <w:spacing w:line="560" w:lineRule="exact"/>
        <w:ind w:left="0" w:firstLine="643" w:firstLineChars="200"/>
        <w:textAlignment w:val="auto"/>
        <w:rPr>
          <w:rFonts w:hint="eastAsia" w:ascii="仿宋_GB2312" w:eastAsia="仿宋_GB2312"/>
          <w:b w:val="0"/>
          <w:bCs/>
          <w:color w:val="auto"/>
          <w:sz w:val="32"/>
          <w:szCs w:val="32"/>
          <w:highlight w:val="none"/>
          <w:lang w:eastAsia="zh-CN"/>
        </w:rPr>
      </w:pPr>
      <w:r>
        <w:rPr>
          <w:rFonts w:hint="eastAsia" w:ascii="仿宋_GB2312" w:hAnsi="仿宋_GB2312" w:eastAsia="仿宋_GB2312" w:cs="仿宋_GB2312"/>
          <w:b/>
          <w:bCs/>
          <w:kern w:val="2"/>
          <w:sz w:val="32"/>
          <w:szCs w:val="32"/>
          <w:highlight w:val="none"/>
          <w:lang w:val="en-US" w:eastAsia="zh-CN" w:bidi="ar-SA"/>
        </w:rPr>
        <w:t>第七条</w:t>
      </w:r>
      <w:r>
        <w:rPr>
          <w:rFonts w:hint="eastAsia" w:ascii="仿宋_GB2312" w:eastAsia="仿宋_GB2312"/>
          <w:color w:val="auto"/>
          <w:sz w:val="32"/>
          <w:szCs w:val="32"/>
          <w:highlight w:val="none"/>
          <w:lang w:val="en-US" w:eastAsia="zh-CN"/>
        </w:rPr>
        <w:t xml:space="preserve">  </w:t>
      </w:r>
      <w:r>
        <w:rPr>
          <w:rFonts w:hint="eastAsia" w:ascii="仿宋_GB2312" w:eastAsia="仿宋_GB2312"/>
          <w:b w:val="0"/>
          <w:bCs w:val="0"/>
          <w:color w:val="auto"/>
          <w:sz w:val="32"/>
          <w:szCs w:val="32"/>
          <w:highlight w:val="none"/>
          <w:lang w:val="en-US" w:eastAsia="zh-CN"/>
        </w:rPr>
        <w:t>本实施细则有效期内，</w:t>
      </w:r>
      <w:r>
        <w:rPr>
          <w:rFonts w:hint="eastAsia" w:ascii="仿宋_GB2312" w:eastAsia="仿宋_GB2312"/>
          <w:b w:val="0"/>
          <w:bCs/>
          <w:color w:val="auto"/>
          <w:sz w:val="32"/>
          <w:szCs w:val="32"/>
          <w:highlight w:val="none"/>
          <w:lang w:eastAsia="zh-CN"/>
        </w:rPr>
        <w:t>支持内容及标准包括：</w:t>
      </w:r>
    </w:p>
    <w:p>
      <w:pPr>
        <w:keepNext w:val="0"/>
        <w:keepLines w:val="0"/>
        <w:pageBreakBefore w:val="0"/>
        <w:widowControl w:val="0"/>
        <w:kinsoku/>
        <w:wordWrap/>
        <w:overflowPunct/>
        <w:topLinePunct w:val="0"/>
        <w:autoSpaceDE/>
        <w:autoSpaceDN/>
        <w:bidi w:val="0"/>
        <w:spacing w:line="560" w:lineRule="exact"/>
        <w:ind w:left="0" w:firstLine="640" w:firstLineChars="200"/>
        <w:textAlignment w:val="auto"/>
        <w:rPr>
          <w:rFonts w:hint="eastAsia" w:ascii="仿宋_GB2312" w:eastAsia="仿宋_GB2312"/>
          <w:b w:val="0"/>
          <w:bCs w:val="0"/>
          <w:color w:val="auto"/>
          <w:sz w:val="32"/>
          <w:szCs w:val="32"/>
          <w:highlight w:val="none"/>
          <w:lang w:eastAsia="zh-CN"/>
        </w:rPr>
      </w:pPr>
      <w:r>
        <w:rPr>
          <w:rFonts w:hint="eastAsia" w:ascii="仿宋_GB2312" w:eastAsia="仿宋_GB2312"/>
          <w:b w:val="0"/>
          <w:bCs w:val="0"/>
          <w:color w:val="auto"/>
          <w:sz w:val="32"/>
          <w:szCs w:val="32"/>
          <w:highlight w:val="none"/>
          <w:lang w:eastAsia="zh-CN"/>
        </w:rPr>
        <w:t>（一）支持内容：</w:t>
      </w:r>
    </w:p>
    <w:p>
      <w:pPr>
        <w:keepNext w:val="0"/>
        <w:keepLines w:val="0"/>
        <w:pageBreakBefore w:val="0"/>
        <w:widowControl w:val="0"/>
        <w:kinsoku/>
        <w:wordWrap/>
        <w:overflowPunct/>
        <w:topLinePunct w:val="0"/>
        <w:autoSpaceDE/>
        <w:autoSpaceDN/>
        <w:bidi w:val="0"/>
        <w:spacing w:line="560" w:lineRule="exact"/>
        <w:ind w:left="0" w:firstLine="640" w:firstLineChars="200"/>
        <w:textAlignment w:val="auto"/>
        <w:rPr>
          <w:rFonts w:hint="eastAsia" w:ascii="仿宋_GB2312" w:eastAsia="仿宋_GB2312"/>
          <w:b w:val="0"/>
          <w:bCs w:val="0"/>
          <w:color w:val="auto"/>
          <w:sz w:val="32"/>
          <w:szCs w:val="32"/>
          <w:highlight w:val="none"/>
          <w:lang w:val="en-US" w:eastAsia="zh-CN"/>
        </w:rPr>
      </w:pPr>
      <w:r>
        <w:rPr>
          <w:rFonts w:hint="eastAsia" w:ascii="仿宋_GB2312" w:eastAsia="仿宋_GB2312"/>
          <w:b w:val="0"/>
          <w:bCs w:val="0"/>
          <w:color w:val="auto"/>
          <w:sz w:val="32"/>
          <w:szCs w:val="32"/>
          <w:highlight w:val="none"/>
          <w:lang w:val="en-US" w:eastAsia="zh-CN"/>
        </w:rPr>
        <w:t>按照新设或增资年度实际使用外资金额大于等于2000万美元以上予以分档奖励。</w:t>
      </w:r>
    </w:p>
    <w:p>
      <w:pPr>
        <w:keepNext w:val="0"/>
        <w:keepLines w:val="0"/>
        <w:pageBreakBefore w:val="0"/>
        <w:widowControl w:val="0"/>
        <w:kinsoku/>
        <w:wordWrap/>
        <w:overflowPunct/>
        <w:topLinePunct w:val="0"/>
        <w:autoSpaceDE/>
        <w:autoSpaceDN/>
        <w:bidi w:val="0"/>
        <w:spacing w:line="560" w:lineRule="exact"/>
        <w:ind w:left="0" w:firstLine="640" w:firstLineChars="200"/>
        <w:textAlignment w:val="auto"/>
        <w:rPr>
          <w:rFonts w:hint="default" w:ascii="仿宋_GB2312" w:eastAsia="仿宋_GB2312"/>
          <w:b w:val="0"/>
          <w:bCs w:val="0"/>
          <w:color w:val="auto"/>
          <w:sz w:val="32"/>
          <w:szCs w:val="32"/>
          <w:highlight w:val="none"/>
          <w:lang w:val="en-US" w:eastAsia="zh-CN"/>
        </w:rPr>
      </w:pPr>
      <w:r>
        <w:rPr>
          <w:rFonts w:hint="eastAsia" w:ascii="仿宋_GB2312" w:eastAsia="仿宋_GB2312"/>
          <w:b w:val="0"/>
          <w:bCs w:val="0"/>
          <w:color w:val="auto"/>
          <w:sz w:val="32"/>
          <w:szCs w:val="32"/>
          <w:highlight w:val="none"/>
          <w:lang w:val="en-US" w:eastAsia="zh-CN"/>
        </w:rPr>
        <w:t>（二）支持标准：</w:t>
      </w:r>
    </w:p>
    <w:p>
      <w:pPr>
        <w:keepNext w:val="0"/>
        <w:keepLines w:val="0"/>
        <w:pageBreakBefore w:val="0"/>
        <w:widowControl w:val="0"/>
        <w:numPr>
          <w:ilvl w:val="0"/>
          <w:numId w:val="0"/>
        </w:numPr>
        <w:kinsoku/>
        <w:wordWrap/>
        <w:overflowPunct/>
        <w:topLinePunct w:val="0"/>
        <w:autoSpaceDE/>
        <w:autoSpaceDN/>
        <w:bidi w:val="0"/>
        <w:spacing w:line="560" w:lineRule="exact"/>
        <w:ind w:left="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年实际</w:t>
      </w:r>
      <w:r>
        <w:rPr>
          <w:rFonts w:hint="eastAsia" w:ascii="仿宋_GB2312" w:hAnsi="仿宋_GB2312" w:eastAsia="仿宋_GB2312" w:cs="仿宋_GB2312"/>
          <w:color w:val="auto"/>
          <w:sz w:val="32"/>
          <w:szCs w:val="32"/>
          <w:highlight w:val="none"/>
          <w:lang w:eastAsia="zh-CN"/>
        </w:rPr>
        <w:t>使用外资</w:t>
      </w:r>
      <w:r>
        <w:rPr>
          <w:rFonts w:hint="eastAsia" w:ascii="仿宋_GB2312" w:hAnsi="仿宋_GB2312" w:eastAsia="仿宋_GB2312" w:cs="仿宋_GB2312"/>
          <w:color w:val="auto"/>
          <w:sz w:val="32"/>
          <w:szCs w:val="32"/>
          <w:highlight w:val="none"/>
        </w:rPr>
        <w:t>金额2000万—3000万美元（</w:t>
      </w:r>
      <w:r>
        <w:rPr>
          <w:rFonts w:hint="eastAsia" w:ascii="仿宋_GB2312" w:hAnsi="仿宋_GB2312" w:eastAsia="仿宋_GB2312" w:cs="仿宋_GB2312"/>
          <w:color w:val="auto"/>
          <w:sz w:val="32"/>
          <w:szCs w:val="32"/>
          <w:highlight w:val="none"/>
          <w:lang w:val="en-US" w:eastAsia="zh-CN"/>
        </w:rPr>
        <w:t>2000</w:t>
      </w:r>
      <w:r>
        <w:rPr>
          <w:rFonts w:hint="eastAsia" w:ascii="仿宋_GB2312" w:hAnsi="仿宋_GB2312" w:eastAsia="仿宋_GB2312" w:cs="仿宋_GB2312"/>
          <w:color w:val="auto"/>
          <w:sz w:val="32"/>
          <w:szCs w:val="32"/>
          <w:highlight w:val="none"/>
        </w:rPr>
        <w:t>万≤年实际使用外资＜</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000万美元），给予300万元人民币奖励；年实际</w:t>
      </w:r>
      <w:r>
        <w:rPr>
          <w:rFonts w:hint="eastAsia" w:ascii="仿宋_GB2312" w:hAnsi="仿宋_GB2312" w:eastAsia="仿宋_GB2312" w:cs="仿宋_GB2312"/>
          <w:color w:val="auto"/>
          <w:sz w:val="32"/>
          <w:szCs w:val="32"/>
          <w:highlight w:val="none"/>
          <w:lang w:eastAsia="zh-CN"/>
        </w:rPr>
        <w:t>使用外资</w:t>
      </w:r>
      <w:r>
        <w:rPr>
          <w:rFonts w:hint="eastAsia" w:ascii="仿宋_GB2312" w:hAnsi="仿宋_GB2312" w:eastAsia="仿宋_GB2312" w:cs="仿宋_GB2312"/>
          <w:color w:val="auto"/>
          <w:sz w:val="32"/>
          <w:szCs w:val="32"/>
          <w:highlight w:val="none"/>
        </w:rPr>
        <w:t>金额3000万—5000万美元（</w:t>
      </w:r>
      <w:r>
        <w:rPr>
          <w:rFonts w:hint="eastAsia" w:ascii="仿宋_GB2312" w:hAnsi="仿宋_GB2312" w:eastAsia="仿宋_GB2312" w:cs="仿宋_GB2312"/>
          <w:color w:val="auto"/>
          <w:sz w:val="32"/>
          <w:szCs w:val="32"/>
          <w:highlight w:val="none"/>
          <w:lang w:val="en-US" w:eastAsia="zh-CN"/>
        </w:rPr>
        <w:t>3000</w:t>
      </w:r>
      <w:r>
        <w:rPr>
          <w:rFonts w:hint="eastAsia" w:ascii="仿宋_GB2312" w:hAnsi="仿宋_GB2312" w:eastAsia="仿宋_GB2312" w:cs="仿宋_GB2312"/>
          <w:color w:val="auto"/>
          <w:sz w:val="32"/>
          <w:szCs w:val="32"/>
          <w:highlight w:val="none"/>
        </w:rPr>
        <w:t>万≤年实际使用外资＜</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000万美元），给予500万元人民币奖励；年实际使用外资金额</w:t>
      </w:r>
      <w:r>
        <w:rPr>
          <w:rFonts w:hint="eastAsia" w:ascii="仿宋_GB2312" w:hAnsi="仿宋_GB2312" w:eastAsia="仿宋_GB2312" w:cs="仿宋_GB2312"/>
          <w:color w:val="auto"/>
          <w:sz w:val="32"/>
          <w:szCs w:val="32"/>
          <w:highlight w:val="none"/>
          <w:lang w:val="en-US" w:eastAsia="zh-CN"/>
        </w:rPr>
        <w:t>5000</w:t>
      </w:r>
      <w:r>
        <w:rPr>
          <w:rFonts w:hint="eastAsia" w:ascii="仿宋_GB2312" w:hAnsi="仿宋_GB2312" w:eastAsia="仿宋_GB2312" w:cs="仿宋_GB2312"/>
          <w:color w:val="auto"/>
          <w:sz w:val="32"/>
          <w:szCs w:val="32"/>
          <w:highlight w:val="none"/>
        </w:rPr>
        <w:t>万美元及以上的，给予600万元人民币奖励。</w:t>
      </w:r>
      <w:r>
        <w:rPr>
          <w:rFonts w:hint="eastAsia" w:ascii="仿宋_GB2312" w:hAnsi="仿宋_GB2312" w:eastAsia="仿宋_GB2312" w:cs="仿宋_GB2312"/>
          <w:color w:val="auto"/>
          <w:sz w:val="32"/>
          <w:szCs w:val="32"/>
          <w:highlight w:val="none"/>
          <w:lang w:val="en-US" w:eastAsia="zh-CN"/>
        </w:rPr>
        <w:t>本事项申报单位</w:t>
      </w:r>
      <w:r>
        <w:rPr>
          <w:rFonts w:hint="eastAsia" w:ascii="仿宋_GB2312" w:hAnsi="仿宋_GB2312" w:eastAsia="仿宋_GB2312" w:cs="仿宋_GB2312"/>
          <w:color w:val="auto"/>
          <w:sz w:val="32"/>
          <w:szCs w:val="32"/>
          <w:highlight w:val="none"/>
          <w:lang w:eastAsia="zh-CN"/>
        </w:rPr>
        <w:t>同一</w:t>
      </w:r>
      <w:r>
        <w:rPr>
          <w:rFonts w:hint="eastAsia" w:ascii="仿宋_GB2312" w:hAnsi="仿宋_GB2312" w:eastAsia="仿宋_GB2312" w:cs="仿宋_GB2312"/>
          <w:color w:val="auto"/>
          <w:sz w:val="32"/>
          <w:szCs w:val="32"/>
          <w:highlight w:val="none"/>
        </w:rPr>
        <w:t>年度获奖励金额最高不超过</w:t>
      </w:r>
      <w:r>
        <w:rPr>
          <w:rFonts w:hint="eastAsia" w:ascii="仿宋_GB2312" w:hAnsi="仿宋_GB2312" w:eastAsia="仿宋_GB2312" w:cs="仿宋_GB2312"/>
          <w:color w:val="auto"/>
          <w:sz w:val="32"/>
          <w:szCs w:val="32"/>
          <w:highlight w:val="none"/>
          <w:lang w:val="en-US" w:eastAsia="zh-CN"/>
        </w:rPr>
        <w:t>600</w:t>
      </w:r>
      <w:r>
        <w:rPr>
          <w:rFonts w:hint="eastAsia" w:ascii="仿宋_GB2312" w:hAnsi="仿宋_GB2312" w:eastAsia="仿宋_GB2312" w:cs="仿宋_GB2312"/>
          <w:color w:val="auto"/>
          <w:sz w:val="32"/>
          <w:szCs w:val="32"/>
          <w:highlight w:val="none"/>
        </w:rPr>
        <w:t>万元人民币。</w:t>
      </w:r>
    </w:p>
    <w:p>
      <w:pPr>
        <w:pStyle w:val="4"/>
        <w:keepNext w:val="0"/>
        <w:keepLines w:val="0"/>
        <w:pageBreakBefore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yellow"/>
          <w:lang w:eastAsia="zh-CN"/>
        </w:rPr>
      </w:pPr>
      <w:r>
        <w:rPr>
          <w:rFonts w:hint="eastAsia" w:ascii="仿宋_GB2312" w:hAnsi="仿宋_GB2312" w:eastAsia="仿宋_GB2312" w:cs="仿宋_GB2312"/>
          <w:sz w:val="32"/>
          <w:szCs w:val="32"/>
          <w:highlight w:val="none"/>
        </w:rPr>
        <w:t>以上支持对象不包括房地产业、金融业及类金融业项目</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行业划分依据为《中华人民共和国国家标准国民经济行业分类》</w:t>
      </w:r>
      <w:r>
        <w:rPr>
          <w:rFonts w:hint="eastAsia" w:ascii="仿宋_GB2312" w:hAnsi="仿宋_GB2312" w:eastAsia="仿宋_GB2312" w:cs="仿宋_GB2312"/>
          <w:sz w:val="32"/>
          <w:szCs w:val="32"/>
          <w:highlight w:val="none"/>
          <w:lang w:eastAsia="zh-CN"/>
        </w:rPr>
        <w:t>。）</w:t>
      </w:r>
    </w:p>
    <w:p>
      <w:pPr>
        <w:pStyle w:val="4"/>
        <w:keepNext w:val="0"/>
        <w:keepLines w:val="0"/>
        <w:pageBreakBefore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yellow"/>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jc w:val="center"/>
        <w:textAlignment w:val="auto"/>
        <w:rPr>
          <w:rFonts w:hint="eastAsia" w:ascii="黑体" w:hAnsi="黑体" w:eastAsia="黑体" w:cs="仿宋_GB2312"/>
          <w:sz w:val="32"/>
          <w:szCs w:val="32"/>
          <w:highlight w:val="none"/>
          <w:lang w:val="en-US" w:eastAsia="zh-CN"/>
        </w:rPr>
      </w:pPr>
      <w:r>
        <w:rPr>
          <w:rFonts w:hint="eastAsia" w:ascii="黑体" w:hAnsi="黑体" w:eastAsia="黑体"/>
          <w:sz w:val="32"/>
          <w:szCs w:val="32"/>
          <w:highlight w:val="none"/>
        </w:rPr>
        <w:t>第</w:t>
      </w:r>
      <w:r>
        <w:rPr>
          <w:rFonts w:hint="eastAsia" w:ascii="黑体" w:hAnsi="黑体" w:eastAsia="黑体"/>
          <w:sz w:val="32"/>
          <w:szCs w:val="32"/>
          <w:highlight w:val="none"/>
          <w:lang w:val="en-US" w:eastAsia="zh-CN"/>
        </w:rPr>
        <w:t>四</w:t>
      </w:r>
      <w:r>
        <w:rPr>
          <w:rFonts w:hint="eastAsia" w:ascii="黑体" w:hAnsi="黑体" w:eastAsia="黑体"/>
          <w:sz w:val="32"/>
          <w:szCs w:val="32"/>
          <w:highlight w:val="none"/>
        </w:rPr>
        <w:t>章  项目</w:t>
      </w:r>
      <w:r>
        <w:rPr>
          <w:rFonts w:hint="eastAsia" w:ascii="黑体" w:hAnsi="黑体" w:eastAsia="黑体"/>
          <w:sz w:val="32"/>
          <w:szCs w:val="32"/>
          <w:highlight w:val="none"/>
          <w:lang w:val="en-US" w:eastAsia="zh-CN"/>
        </w:rPr>
        <w:t>受理</w:t>
      </w:r>
      <w:r>
        <w:rPr>
          <w:rFonts w:hint="eastAsia" w:ascii="黑体" w:hAnsi="黑体" w:eastAsia="黑体"/>
          <w:sz w:val="32"/>
          <w:szCs w:val="32"/>
          <w:highlight w:val="none"/>
        </w:rPr>
        <w:t>和审核</w:t>
      </w:r>
      <w:r>
        <w:rPr>
          <w:rFonts w:hint="eastAsia" w:ascii="黑体" w:hAnsi="黑体" w:eastAsia="黑体"/>
          <w:sz w:val="32"/>
          <w:szCs w:val="32"/>
          <w:highlight w:val="none"/>
          <w:lang w:val="en-US" w:eastAsia="zh-CN"/>
        </w:rPr>
        <w:tab/>
      </w:r>
    </w:p>
    <w:p>
      <w:pPr>
        <w:pStyle w:val="2"/>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eastAsia="仿宋_GB2312"/>
          <w:color w:val="auto"/>
          <w:sz w:val="32"/>
          <w:szCs w:val="32"/>
          <w:highlight w:val="none"/>
        </w:rPr>
      </w:pPr>
      <w:r>
        <w:rPr>
          <w:rFonts w:hint="eastAsia" w:ascii="仿宋_GB2312" w:hAnsi="仿宋_GB2312" w:eastAsia="仿宋_GB2312" w:cs="仿宋_GB2312"/>
          <w:b/>
          <w:bCs/>
          <w:kern w:val="2"/>
          <w:sz w:val="32"/>
          <w:szCs w:val="32"/>
          <w:highlight w:val="none"/>
          <w:lang w:val="en-US" w:eastAsia="zh-CN" w:bidi="ar-SA"/>
        </w:rPr>
        <w:t>第八条</w:t>
      </w:r>
      <w:r>
        <w:rPr>
          <w:rFonts w:hint="eastAsia" w:ascii="仿宋_GB2312" w:eastAsia="仿宋_GB2312"/>
          <w:b w:val="0"/>
          <w:bCs/>
          <w:color w:val="auto"/>
          <w:sz w:val="32"/>
          <w:szCs w:val="32"/>
          <w:highlight w:val="none"/>
        </w:rPr>
        <w:t xml:space="preserve">  </w:t>
      </w:r>
      <w:r>
        <w:rPr>
          <w:rFonts w:hint="eastAsia" w:ascii="仿宋_GB2312" w:eastAsia="仿宋_GB2312"/>
          <w:b w:val="0"/>
          <w:bCs/>
          <w:color w:val="auto"/>
          <w:sz w:val="32"/>
          <w:szCs w:val="32"/>
          <w:highlight w:val="none"/>
          <w:lang w:val="en-US" w:eastAsia="zh-CN"/>
        </w:rPr>
        <w:t>市商务局依据本实施细则编制年度资金申报指南</w:t>
      </w:r>
      <w:r>
        <w:rPr>
          <w:rFonts w:hint="eastAsia" w:ascii="仿宋_GB2312" w:eastAsia="仿宋_GB2312"/>
          <w:color w:val="auto"/>
          <w:sz w:val="32"/>
          <w:szCs w:val="32"/>
          <w:highlight w:val="none"/>
        </w:rPr>
        <w:t>，明确资金</w:t>
      </w:r>
      <w:r>
        <w:rPr>
          <w:rFonts w:hint="eastAsia" w:ascii="仿宋_GB2312" w:eastAsia="仿宋_GB2312"/>
          <w:color w:val="auto"/>
          <w:sz w:val="32"/>
          <w:szCs w:val="32"/>
          <w:highlight w:val="none"/>
          <w:lang w:val="en-US" w:eastAsia="zh-CN"/>
        </w:rPr>
        <w:t>奖励</w:t>
      </w:r>
      <w:r>
        <w:rPr>
          <w:rFonts w:hint="eastAsia" w:ascii="仿宋_GB2312" w:eastAsia="仿宋_GB2312"/>
          <w:color w:val="auto"/>
          <w:sz w:val="32"/>
          <w:szCs w:val="32"/>
          <w:highlight w:val="none"/>
        </w:rPr>
        <w:t>类别、</w:t>
      </w:r>
      <w:r>
        <w:rPr>
          <w:rFonts w:hint="eastAsia" w:ascii="仿宋_GB2312" w:eastAsia="仿宋_GB2312"/>
          <w:color w:val="auto"/>
          <w:sz w:val="32"/>
          <w:szCs w:val="32"/>
          <w:highlight w:val="none"/>
          <w:lang w:val="en-US" w:eastAsia="zh-CN"/>
        </w:rPr>
        <w:t>支持</w:t>
      </w:r>
      <w:r>
        <w:rPr>
          <w:rFonts w:hint="eastAsia" w:ascii="仿宋_GB2312" w:eastAsia="仿宋_GB2312"/>
          <w:color w:val="auto"/>
          <w:sz w:val="32"/>
          <w:szCs w:val="32"/>
          <w:highlight w:val="none"/>
        </w:rPr>
        <w:t>方向、申报条件、申报材料和受理时间等内容，启动项目申报。</w:t>
      </w:r>
      <w:r>
        <w:rPr>
          <w:rFonts w:hint="eastAsia" w:ascii="仿宋_GB2312" w:hAnsi="Calibri" w:eastAsia="仿宋_GB2312" w:cs="Times New Roman"/>
          <w:color w:val="auto"/>
          <w:kern w:val="2"/>
          <w:sz w:val="32"/>
          <w:szCs w:val="32"/>
          <w:highlight w:val="none"/>
          <w:lang w:val="en-US" w:eastAsia="zh-CN" w:bidi="ar-SA"/>
        </w:rPr>
        <w:t>市商务局在统一的政府网站或平台对外发布申报指南，符合条件的申报单位可按照相关规定和申报指南要求提交申请。</w:t>
      </w:r>
    </w:p>
    <w:p>
      <w:pPr>
        <w:pStyle w:val="2"/>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eastAsia="仿宋_GB2312"/>
          <w:color w:val="auto"/>
          <w:sz w:val="32"/>
          <w:szCs w:val="32"/>
          <w:highlight w:val="none"/>
          <w:lang w:val="en-US" w:eastAsia="zh-CN"/>
        </w:rPr>
      </w:pPr>
      <w:r>
        <w:rPr>
          <w:rFonts w:hint="eastAsia" w:ascii="仿宋_GB2312" w:hAnsi="仿宋_GB2312" w:eastAsia="仿宋_GB2312" w:cs="仿宋_GB2312"/>
          <w:b/>
          <w:bCs/>
          <w:kern w:val="2"/>
          <w:sz w:val="32"/>
          <w:szCs w:val="32"/>
          <w:highlight w:val="none"/>
          <w:lang w:val="en-US" w:eastAsia="zh-CN" w:bidi="ar-SA"/>
        </w:rPr>
        <w:t>第九条</w:t>
      </w:r>
      <w:r>
        <w:rPr>
          <w:rFonts w:hint="eastAsia" w:ascii="黑体" w:hAnsi="黑体" w:eastAsia="黑体"/>
          <w:sz w:val="32"/>
          <w:szCs w:val="32"/>
          <w:highlight w:val="none"/>
          <w:lang w:val="en-US" w:eastAsia="zh-CN"/>
        </w:rPr>
        <w:t xml:space="preserve">  </w:t>
      </w:r>
      <w:r>
        <w:rPr>
          <w:rFonts w:hint="eastAsia" w:ascii="仿宋_GB2312" w:eastAsia="仿宋_GB2312"/>
          <w:color w:val="auto"/>
          <w:sz w:val="32"/>
          <w:szCs w:val="32"/>
          <w:highlight w:val="none"/>
          <w:lang w:val="en-US" w:eastAsia="zh-CN"/>
        </w:rPr>
        <w:t>项目初审：</w:t>
      </w:r>
    </w:p>
    <w:p>
      <w:pPr>
        <w:pStyle w:val="2"/>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（一）</w:t>
      </w:r>
      <w:r>
        <w:rPr>
          <w:rFonts w:hint="eastAsia" w:ascii="仿宋_GB2312" w:eastAsia="仿宋_GB2312"/>
          <w:color w:val="auto"/>
          <w:sz w:val="32"/>
          <w:szCs w:val="32"/>
          <w:highlight w:val="none"/>
        </w:rPr>
        <w:t>符合条件的</w:t>
      </w:r>
      <w:r>
        <w:rPr>
          <w:rFonts w:hint="eastAsia" w:ascii="仿宋_GB2312" w:eastAsia="仿宋_GB2312"/>
          <w:color w:val="auto"/>
          <w:sz w:val="32"/>
          <w:szCs w:val="32"/>
          <w:highlight w:val="none"/>
          <w:lang w:eastAsia="zh-CN"/>
        </w:rPr>
        <w:t>申报单位</w:t>
      </w:r>
      <w:r>
        <w:rPr>
          <w:rFonts w:hint="eastAsia" w:ascii="仿宋_GB2312" w:eastAsia="仿宋_GB2312"/>
          <w:color w:val="auto"/>
          <w:sz w:val="32"/>
          <w:szCs w:val="32"/>
          <w:highlight w:val="none"/>
        </w:rPr>
        <w:t>均可按照</w:t>
      </w:r>
      <w:r>
        <w:rPr>
          <w:rFonts w:hint="eastAsia" w:ascii="仿宋_GB2312" w:eastAsia="仿宋_GB2312"/>
          <w:color w:val="auto"/>
          <w:sz w:val="32"/>
          <w:szCs w:val="32"/>
          <w:highlight w:val="none"/>
          <w:lang w:val="en-US" w:eastAsia="zh-CN"/>
        </w:rPr>
        <w:t>申报</w:t>
      </w:r>
      <w:r>
        <w:rPr>
          <w:rFonts w:hint="eastAsia" w:ascii="仿宋_GB2312" w:eastAsia="仿宋_GB2312"/>
          <w:color w:val="auto"/>
          <w:sz w:val="32"/>
          <w:szCs w:val="32"/>
          <w:highlight w:val="none"/>
        </w:rPr>
        <w:t>指南要求向所在辖区商务主管部门提交初审申请。</w:t>
      </w:r>
    </w:p>
    <w:p>
      <w:pPr>
        <w:pStyle w:val="2"/>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二</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各辖区商务主管部门对申报单位提交的申报材料在初审受理期限内通过形式审查、现场调研等方式进行初审，在申报表填写初审意见并加盖公章</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并上</w:t>
      </w:r>
      <w:r>
        <w:rPr>
          <w:rFonts w:hint="eastAsia" w:ascii="仿宋_GB2312" w:eastAsia="仿宋_GB2312"/>
          <w:color w:val="auto"/>
          <w:sz w:val="32"/>
          <w:szCs w:val="32"/>
          <w:highlight w:val="none"/>
        </w:rPr>
        <w:t>报至</w:t>
      </w:r>
      <w:r>
        <w:rPr>
          <w:rFonts w:hint="eastAsia" w:ascii="仿宋_GB2312" w:eastAsia="仿宋_GB2312"/>
          <w:color w:val="auto"/>
          <w:sz w:val="32"/>
          <w:szCs w:val="32"/>
          <w:highlight w:val="none"/>
          <w:lang w:eastAsia="zh-CN"/>
        </w:rPr>
        <w:t>市商务局。</w:t>
      </w:r>
    </w:p>
    <w:p>
      <w:pPr>
        <w:pStyle w:val="2"/>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三</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经辖区</w:t>
      </w:r>
      <w:r>
        <w:rPr>
          <w:rFonts w:hint="eastAsia" w:ascii="仿宋_GB2312" w:eastAsia="仿宋_GB2312"/>
          <w:color w:val="auto"/>
          <w:sz w:val="32"/>
          <w:szCs w:val="32"/>
          <w:highlight w:val="none"/>
        </w:rPr>
        <w:t>初审通过并推荐上报的</w:t>
      </w:r>
      <w:r>
        <w:rPr>
          <w:rFonts w:hint="eastAsia" w:ascii="仿宋_GB2312" w:eastAsia="仿宋_GB2312"/>
          <w:color w:val="auto"/>
          <w:sz w:val="32"/>
          <w:szCs w:val="32"/>
          <w:highlight w:val="none"/>
          <w:lang w:val="en-US" w:eastAsia="zh-CN"/>
        </w:rPr>
        <w:t>申报</w:t>
      </w:r>
      <w:r>
        <w:rPr>
          <w:rFonts w:hint="eastAsia" w:ascii="仿宋_GB2312" w:eastAsia="仿宋_GB2312"/>
          <w:color w:val="auto"/>
          <w:sz w:val="32"/>
          <w:szCs w:val="32"/>
          <w:highlight w:val="none"/>
        </w:rPr>
        <w:t>单位</w:t>
      </w:r>
      <w:r>
        <w:rPr>
          <w:rFonts w:hint="eastAsia" w:ascii="仿宋_GB2312" w:eastAsia="仿宋_GB2312"/>
          <w:color w:val="auto"/>
          <w:sz w:val="32"/>
          <w:szCs w:val="32"/>
          <w:highlight w:val="none"/>
          <w:lang w:val="en-US" w:eastAsia="zh-CN"/>
        </w:rPr>
        <w:t>在规定时间内</w:t>
      </w:r>
      <w:r>
        <w:rPr>
          <w:rFonts w:hint="eastAsia" w:ascii="仿宋_GB2312" w:eastAsia="仿宋_GB2312"/>
          <w:color w:val="auto"/>
          <w:sz w:val="32"/>
          <w:szCs w:val="32"/>
          <w:highlight w:val="none"/>
        </w:rPr>
        <w:t>进行网上申报。</w:t>
      </w:r>
    </w:p>
    <w:p>
      <w:pPr>
        <w:keepNext w:val="0"/>
        <w:keepLines w:val="0"/>
        <w:pageBreakBefore w:val="0"/>
        <w:widowControl w:val="0"/>
        <w:kinsoku/>
        <w:wordWrap/>
        <w:overflowPunct/>
        <w:topLinePunct w:val="0"/>
        <w:autoSpaceDE/>
        <w:autoSpaceDN/>
        <w:bidi w:val="0"/>
        <w:spacing w:line="560" w:lineRule="exact"/>
        <w:ind w:left="0"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所在辖区商务主管部门指前海蛇口自贸片区管委会，各区政府（</w:t>
      </w:r>
      <w:r>
        <w:rPr>
          <w:rFonts w:hint="eastAsia" w:ascii="仿宋_GB2312" w:eastAsia="仿宋_GB2312"/>
          <w:color w:val="auto"/>
          <w:sz w:val="32"/>
          <w:szCs w:val="32"/>
          <w:highlight w:val="none"/>
          <w:lang w:val="en-US" w:eastAsia="zh-CN"/>
        </w:rPr>
        <w:t>含</w:t>
      </w:r>
      <w:r>
        <w:rPr>
          <w:rFonts w:hint="eastAsia" w:ascii="仿宋_GB2312" w:eastAsia="仿宋_GB2312"/>
          <w:color w:val="auto"/>
          <w:sz w:val="32"/>
          <w:szCs w:val="32"/>
          <w:highlight w:val="none"/>
          <w:lang w:eastAsia="zh-CN"/>
        </w:rPr>
        <w:t>大鹏新区）商务主管部门及深汕特别合作区管委会。</w:t>
      </w:r>
    </w:p>
    <w:p>
      <w:pPr>
        <w:keepNext w:val="0"/>
        <w:keepLines w:val="0"/>
        <w:pageBreakBefore w:val="0"/>
        <w:widowControl w:val="0"/>
        <w:kinsoku/>
        <w:wordWrap/>
        <w:overflowPunct/>
        <w:topLinePunct w:val="0"/>
        <w:autoSpaceDE/>
        <w:autoSpaceDN/>
        <w:bidi w:val="0"/>
        <w:spacing w:line="560" w:lineRule="exact"/>
        <w:ind w:left="0" w:firstLine="643" w:firstLineChars="200"/>
        <w:textAlignment w:val="auto"/>
        <w:rPr>
          <w:rFonts w:hint="default" w:ascii="仿宋_GB2312" w:eastAsia="仿宋_GB2312"/>
          <w:b w:val="0"/>
          <w:bCs/>
          <w:color w:val="auto"/>
          <w:sz w:val="32"/>
          <w:szCs w:val="32"/>
          <w:highlight w:val="none"/>
          <w:lang w:val="en-US"/>
        </w:rPr>
      </w:pPr>
      <w:r>
        <w:rPr>
          <w:rFonts w:hint="eastAsia" w:ascii="仿宋_GB2312" w:hAnsi="仿宋_GB2312" w:eastAsia="仿宋_GB2312" w:cs="仿宋_GB2312"/>
          <w:b/>
          <w:bCs/>
          <w:kern w:val="2"/>
          <w:sz w:val="32"/>
          <w:szCs w:val="32"/>
          <w:highlight w:val="none"/>
          <w:lang w:val="en-US" w:eastAsia="zh-CN" w:bidi="ar-SA"/>
        </w:rPr>
        <w:t>第十条</w:t>
      </w:r>
      <w:r>
        <w:rPr>
          <w:rFonts w:hint="eastAsia" w:ascii="仿宋_GB2312" w:eastAsia="仿宋_GB2312"/>
          <w:b/>
          <w:bCs/>
          <w:color w:val="auto"/>
          <w:sz w:val="32"/>
          <w:szCs w:val="32"/>
          <w:highlight w:val="none"/>
        </w:rPr>
        <w:t xml:space="preserve"> </w:t>
      </w:r>
      <w:r>
        <w:rPr>
          <w:rFonts w:hint="eastAsia" w:ascii="仿宋_GB2312" w:eastAsia="仿宋_GB2312"/>
          <w:color w:val="auto"/>
          <w:sz w:val="32"/>
          <w:szCs w:val="32"/>
          <w:highlight w:val="none"/>
        </w:rPr>
        <w:t xml:space="preserve"> </w:t>
      </w:r>
      <w:r>
        <w:rPr>
          <w:rFonts w:hint="eastAsia" w:ascii="仿宋_GB2312" w:eastAsia="仿宋_GB2312"/>
          <w:b w:val="0"/>
          <w:bCs/>
          <w:color w:val="auto"/>
          <w:sz w:val="32"/>
          <w:szCs w:val="32"/>
          <w:highlight w:val="none"/>
          <w:lang w:val="en-US" w:eastAsia="zh-CN"/>
        </w:rPr>
        <w:t>项目审核：</w:t>
      </w:r>
    </w:p>
    <w:p>
      <w:pPr>
        <w:keepNext w:val="0"/>
        <w:keepLines w:val="0"/>
        <w:pageBreakBefore w:val="0"/>
        <w:kinsoku/>
        <w:wordWrap/>
        <w:overflowPunct/>
        <w:topLinePunct w:val="0"/>
        <w:autoSpaceDE/>
        <w:autoSpaceDN/>
        <w:bidi w:val="0"/>
        <w:spacing w:line="560" w:lineRule="exact"/>
        <w:ind w:left="0"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（一）</w:t>
      </w:r>
      <w:r>
        <w:rPr>
          <w:rFonts w:hint="eastAsia" w:ascii="仿宋_GB2312" w:eastAsia="仿宋_GB2312"/>
          <w:color w:val="auto"/>
          <w:sz w:val="32"/>
          <w:szCs w:val="32"/>
          <w:highlight w:val="none"/>
          <w:lang w:eastAsia="zh-CN"/>
        </w:rPr>
        <w:t>市商务局</w:t>
      </w:r>
      <w:r>
        <w:rPr>
          <w:rFonts w:hint="eastAsia" w:ascii="仿宋_GB2312" w:eastAsia="仿宋_GB2312"/>
          <w:color w:val="auto"/>
          <w:sz w:val="32"/>
          <w:szCs w:val="32"/>
          <w:highlight w:val="none"/>
        </w:rPr>
        <w:t>根据企业申报材料进行网络复审，经审核通过的申报单位将相关纸质材料提交至市行政服务大厅受理窗口。申报材料符合要求的，当场受理；缺少材料的，一次性告知申报单位在申报限期内补齐；不符合要求的，应不予受理并说明不予受理的原因</w:t>
      </w:r>
      <w:r>
        <w:rPr>
          <w:rFonts w:hint="eastAsia" w:ascii="仿宋_GB2312" w:eastAsia="仿宋_GB2312"/>
          <w:color w:val="auto"/>
          <w:sz w:val="32"/>
          <w:szCs w:val="32"/>
          <w:highlight w:val="none"/>
          <w:lang w:eastAsia="zh-CN"/>
        </w:rPr>
        <w:t>。</w:t>
      </w:r>
    </w:p>
    <w:p>
      <w:pPr>
        <w:keepNext w:val="0"/>
        <w:keepLines w:val="0"/>
        <w:pageBreakBefore w:val="0"/>
        <w:kinsoku/>
        <w:wordWrap/>
        <w:overflowPunct/>
        <w:topLinePunct w:val="0"/>
        <w:autoSpaceDE/>
        <w:autoSpaceDN/>
        <w:bidi w:val="0"/>
        <w:spacing w:line="560" w:lineRule="exact"/>
        <w:ind w:left="0"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二</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市商务局</w:t>
      </w:r>
      <w:r>
        <w:rPr>
          <w:rFonts w:hint="eastAsia" w:ascii="仿宋_GB2312" w:eastAsia="仿宋_GB2312"/>
          <w:color w:val="auto"/>
          <w:sz w:val="32"/>
          <w:szCs w:val="32"/>
          <w:highlight w:val="none"/>
        </w:rPr>
        <w:t>收到申报单位提交的纸质材料后审核单位资质、材料齐备性、内容合规性等情况</w:t>
      </w:r>
      <w:r>
        <w:rPr>
          <w:rFonts w:hint="eastAsia" w:ascii="仿宋_GB2312" w:eastAsia="仿宋_GB2312"/>
          <w:color w:val="auto"/>
          <w:sz w:val="32"/>
          <w:szCs w:val="32"/>
          <w:highlight w:val="none"/>
          <w:lang w:eastAsia="zh-CN"/>
        </w:rPr>
        <w:t>。</w:t>
      </w:r>
    </w:p>
    <w:p>
      <w:pPr>
        <w:keepNext w:val="0"/>
        <w:keepLines w:val="0"/>
        <w:pageBreakBefore w:val="0"/>
        <w:kinsoku/>
        <w:wordWrap/>
        <w:overflowPunct/>
        <w:topLinePunct w:val="0"/>
        <w:autoSpaceDE/>
        <w:autoSpaceDN/>
        <w:bidi w:val="0"/>
        <w:spacing w:line="560" w:lineRule="exact"/>
        <w:ind w:left="0" w:firstLine="640" w:firstLineChars="200"/>
        <w:textAlignment w:val="auto"/>
        <w:rPr>
          <w:rFonts w:hint="eastAsia"/>
          <w:highlight w:val="none"/>
          <w:lang w:eastAsia="zh-CN"/>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三</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市商务局</w:t>
      </w:r>
      <w:r>
        <w:rPr>
          <w:rFonts w:hint="eastAsia" w:ascii="仿宋_GB2312" w:eastAsia="仿宋_GB2312"/>
          <w:color w:val="auto"/>
          <w:sz w:val="32"/>
          <w:szCs w:val="32"/>
          <w:highlight w:val="none"/>
        </w:rPr>
        <w:t>可根据</w:t>
      </w:r>
      <w:r>
        <w:rPr>
          <w:rFonts w:hint="eastAsia" w:ascii="仿宋_GB2312" w:eastAsia="仿宋_GB2312"/>
          <w:color w:val="auto"/>
          <w:sz w:val="32"/>
          <w:szCs w:val="32"/>
          <w:highlight w:val="none"/>
          <w:lang w:val="en-US" w:eastAsia="zh-CN"/>
        </w:rPr>
        <w:t>工作</w:t>
      </w:r>
      <w:r>
        <w:rPr>
          <w:rFonts w:hint="eastAsia" w:ascii="仿宋_GB2312" w:eastAsia="仿宋_GB2312"/>
          <w:color w:val="auto"/>
          <w:sz w:val="32"/>
          <w:szCs w:val="32"/>
          <w:highlight w:val="none"/>
        </w:rPr>
        <w:t>需要</w:t>
      </w:r>
      <w:r>
        <w:rPr>
          <w:rFonts w:hint="eastAsia" w:ascii="仿宋_GB2312" w:eastAsia="仿宋_GB2312"/>
          <w:color w:val="auto"/>
          <w:sz w:val="32"/>
          <w:szCs w:val="32"/>
          <w:highlight w:val="none"/>
          <w:lang w:eastAsia="zh-CN"/>
        </w:rPr>
        <w:t>采</w:t>
      </w:r>
      <w:r>
        <w:rPr>
          <w:rFonts w:hint="eastAsia" w:ascii="仿宋_GB2312" w:eastAsia="仿宋_GB2312"/>
          <w:color w:val="auto"/>
          <w:sz w:val="32"/>
          <w:szCs w:val="32"/>
          <w:highlight w:val="none"/>
          <w:lang w:val="en-US" w:eastAsia="zh-CN"/>
        </w:rPr>
        <w:t>用</w:t>
      </w:r>
      <w:r>
        <w:rPr>
          <w:rFonts w:hint="eastAsia" w:ascii="仿宋_GB2312" w:eastAsia="仿宋_GB2312"/>
          <w:color w:val="auto"/>
          <w:sz w:val="32"/>
          <w:szCs w:val="32"/>
          <w:highlight w:val="none"/>
          <w:lang w:eastAsia="zh-CN"/>
        </w:rPr>
        <w:t>实地走访调研、企业</w:t>
      </w:r>
      <w:r>
        <w:rPr>
          <w:rFonts w:hint="eastAsia" w:ascii="仿宋_GB2312" w:eastAsia="仿宋_GB2312"/>
          <w:color w:val="auto"/>
          <w:sz w:val="32"/>
          <w:szCs w:val="32"/>
          <w:highlight w:val="none"/>
          <w:lang w:val="en-US" w:eastAsia="zh-CN"/>
        </w:rPr>
        <w:t>座谈</w:t>
      </w:r>
      <w:r>
        <w:rPr>
          <w:rFonts w:hint="eastAsia" w:ascii="仿宋_GB2312" w:eastAsia="仿宋_GB2312"/>
          <w:color w:val="auto"/>
          <w:sz w:val="32"/>
          <w:szCs w:val="32"/>
          <w:highlight w:val="none"/>
          <w:lang w:eastAsia="zh-CN"/>
        </w:rPr>
        <w:t>等</w:t>
      </w:r>
      <w:r>
        <w:rPr>
          <w:rFonts w:hint="eastAsia" w:ascii="仿宋_GB2312" w:eastAsia="仿宋_GB2312"/>
          <w:color w:val="auto"/>
          <w:sz w:val="32"/>
          <w:szCs w:val="32"/>
          <w:highlight w:val="none"/>
          <w:lang w:val="en-US" w:eastAsia="zh-CN"/>
        </w:rPr>
        <w:t>方式</w:t>
      </w:r>
      <w:r>
        <w:rPr>
          <w:rFonts w:hint="eastAsia" w:ascii="仿宋_GB2312" w:eastAsia="仿宋_GB2312"/>
          <w:color w:val="auto"/>
          <w:sz w:val="32"/>
          <w:szCs w:val="32"/>
          <w:highlight w:val="none"/>
          <w:lang w:eastAsia="zh-CN"/>
        </w:rPr>
        <w:t>，并</w:t>
      </w:r>
      <w:r>
        <w:rPr>
          <w:rFonts w:hint="eastAsia" w:ascii="仿宋_GB2312" w:eastAsia="仿宋_GB2312"/>
          <w:color w:val="auto"/>
          <w:sz w:val="32"/>
          <w:szCs w:val="32"/>
          <w:highlight w:val="none"/>
          <w:lang w:val="en-US" w:eastAsia="zh-CN"/>
        </w:rPr>
        <w:t>可委托</w:t>
      </w:r>
      <w:r>
        <w:rPr>
          <w:rFonts w:hint="eastAsia" w:ascii="仿宋_GB2312" w:eastAsia="仿宋_GB2312"/>
          <w:color w:val="auto"/>
          <w:sz w:val="32"/>
          <w:szCs w:val="32"/>
          <w:highlight w:val="none"/>
          <w:lang w:eastAsia="zh-CN"/>
        </w:rPr>
        <w:t>第三方机构对申报材料进行</w:t>
      </w:r>
      <w:r>
        <w:rPr>
          <w:rFonts w:hint="eastAsia" w:ascii="仿宋_GB2312" w:eastAsia="仿宋_GB2312"/>
          <w:color w:val="auto"/>
          <w:sz w:val="32"/>
          <w:szCs w:val="32"/>
          <w:highlight w:val="none"/>
        </w:rPr>
        <w:t>审计、评审或核查，承办相关</w:t>
      </w:r>
      <w:r>
        <w:rPr>
          <w:rFonts w:hint="eastAsia" w:ascii="仿宋_GB2312" w:eastAsia="仿宋_GB2312"/>
          <w:color w:val="auto"/>
          <w:sz w:val="32"/>
          <w:szCs w:val="32"/>
          <w:highlight w:val="none"/>
          <w:lang w:val="en-US" w:eastAsia="zh-CN"/>
        </w:rPr>
        <w:t>实质审查</w:t>
      </w:r>
      <w:r>
        <w:rPr>
          <w:rFonts w:hint="eastAsia" w:ascii="仿宋_GB2312" w:eastAsia="仿宋_GB2312"/>
          <w:color w:val="auto"/>
          <w:sz w:val="32"/>
          <w:szCs w:val="32"/>
          <w:highlight w:val="none"/>
        </w:rPr>
        <w:t>工作</w:t>
      </w:r>
      <w:r>
        <w:rPr>
          <w:rFonts w:hint="eastAsia" w:ascii="仿宋_GB2312" w:eastAsia="仿宋_GB2312"/>
          <w:color w:val="auto"/>
          <w:sz w:val="32"/>
          <w:szCs w:val="32"/>
          <w:highlight w:val="none"/>
          <w:lang w:eastAsia="zh-CN"/>
        </w:rPr>
        <w:t>。</w:t>
      </w:r>
    </w:p>
    <w:p>
      <w:pPr>
        <w:pStyle w:val="2"/>
        <w:keepNext w:val="0"/>
        <w:keepLines w:val="0"/>
        <w:pageBreakBefore w:val="0"/>
        <w:kinsoku/>
        <w:wordWrap/>
        <w:overflowPunct/>
        <w:topLinePunct w:val="0"/>
        <w:autoSpaceDE/>
        <w:autoSpaceDN/>
        <w:bidi w:val="0"/>
        <w:spacing w:line="560" w:lineRule="exact"/>
        <w:ind w:left="0"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四</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市商务局</w:t>
      </w:r>
      <w:r>
        <w:rPr>
          <w:rFonts w:hint="eastAsia" w:ascii="仿宋_GB2312" w:eastAsia="仿宋_GB2312"/>
          <w:color w:val="auto"/>
          <w:sz w:val="32"/>
          <w:szCs w:val="32"/>
          <w:highlight w:val="none"/>
          <w:lang w:eastAsia="zh-CN"/>
        </w:rPr>
        <w:t>结合形式审查、资质审查、</w:t>
      </w:r>
      <w:r>
        <w:rPr>
          <w:rFonts w:hint="eastAsia" w:ascii="仿宋_GB2312" w:eastAsia="仿宋_GB2312"/>
          <w:color w:val="auto"/>
          <w:sz w:val="32"/>
          <w:szCs w:val="32"/>
          <w:highlight w:val="none"/>
          <w:lang w:val="en-US" w:eastAsia="zh-CN"/>
        </w:rPr>
        <w:t>实质</w:t>
      </w:r>
      <w:r>
        <w:rPr>
          <w:rFonts w:hint="eastAsia" w:ascii="仿宋_GB2312" w:eastAsia="仿宋_GB2312"/>
          <w:color w:val="auto"/>
          <w:sz w:val="32"/>
          <w:szCs w:val="32"/>
          <w:highlight w:val="none"/>
          <w:lang w:eastAsia="zh-CN"/>
        </w:rPr>
        <w:t>审查</w:t>
      </w:r>
      <w:r>
        <w:rPr>
          <w:rFonts w:hint="eastAsia" w:ascii="仿宋_GB2312" w:eastAsia="仿宋_GB2312"/>
          <w:b w:val="0"/>
          <w:bCs w:val="0"/>
          <w:color w:val="auto"/>
          <w:sz w:val="32"/>
          <w:szCs w:val="32"/>
          <w:highlight w:val="none"/>
          <w:lang w:eastAsia="zh-CN"/>
        </w:rPr>
        <w:t>等</w:t>
      </w:r>
      <w:r>
        <w:rPr>
          <w:rFonts w:hint="eastAsia" w:ascii="仿宋_GB2312" w:eastAsia="仿宋_GB2312"/>
          <w:color w:val="auto"/>
          <w:sz w:val="32"/>
          <w:szCs w:val="32"/>
          <w:highlight w:val="none"/>
          <w:lang w:eastAsia="zh-CN"/>
        </w:rPr>
        <w:t>结果，提出项目审核意见、资金资助计划，根据需要向相关部门征求意见或进行项目查重。</w:t>
      </w:r>
    </w:p>
    <w:p>
      <w:pPr>
        <w:keepNext w:val="0"/>
        <w:keepLines w:val="0"/>
        <w:pageBreakBefore w:val="0"/>
        <w:widowControl w:val="0"/>
        <w:kinsoku/>
        <w:wordWrap/>
        <w:overflowPunct/>
        <w:topLinePunct w:val="0"/>
        <w:autoSpaceDE/>
        <w:autoSpaceDN/>
        <w:bidi w:val="0"/>
        <w:spacing w:line="560" w:lineRule="exact"/>
        <w:ind w:left="0" w:firstLine="640" w:firstLineChars="200"/>
        <w:textAlignment w:val="auto"/>
        <w:rPr>
          <w:rFonts w:hint="eastAsia" w:ascii="仿宋_GB2312" w:hAnsi="仿宋" w:eastAsia="仿宋_GB2312"/>
          <w:color w:val="auto"/>
          <w:sz w:val="32"/>
          <w:szCs w:val="32"/>
          <w:highlight w:val="none"/>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五</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市商务局</w:t>
      </w:r>
      <w:r>
        <w:rPr>
          <w:rFonts w:hint="eastAsia" w:ascii="仿宋_GB2312" w:eastAsia="仿宋_GB2312"/>
          <w:color w:val="auto"/>
          <w:sz w:val="32"/>
          <w:szCs w:val="32"/>
          <w:highlight w:val="none"/>
        </w:rPr>
        <w:t>经集体研究决策后确定资助计划。除涉及保密要求的内容外,按规定向社会公示，公示时间不少于7个工作日。对公示内容无异议或异议不成立的，</w:t>
      </w:r>
      <w:r>
        <w:rPr>
          <w:rFonts w:hint="eastAsia" w:ascii="仿宋_GB2312" w:eastAsia="仿宋_GB2312"/>
          <w:color w:val="auto"/>
          <w:sz w:val="32"/>
          <w:szCs w:val="32"/>
          <w:highlight w:val="none"/>
          <w:lang w:eastAsia="zh-CN"/>
        </w:rPr>
        <w:t>市商务局</w:t>
      </w:r>
      <w:r>
        <w:rPr>
          <w:rFonts w:hint="eastAsia" w:ascii="仿宋_GB2312" w:eastAsia="仿宋_GB2312"/>
          <w:color w:val="auto"/>
          <w:sz w:val="32"/>
          <w:szCs w:val="32"/>
          <w:highlight w:val="none"/>
        </w:rPr>
        <w:t>下达项目奖励通知，在受奖励项目单位按要求办理拨款手续后安排资金拨付；</w:t>
      </w:r>
      <w:r>
        <w:rPr>
          <w:rFonts w:hint="eastAsia" w:ascii="仿宋_GB2312" w:hAnsi="仿宋" w:eastAsia="仿宋_GB2312"/>
          <w:color w:val="auto"/>
          <w:sz w:val="32"/>
          <w:szCs w:val="32"/>
          <w:highlight w:val="none"/>
        </w:rPr>
        <w:t>公示期间如有异议反映的,核实后按规定予以处理。</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eastAsia="仿宋_GB2312"/>
          <w:color w:val="auto"/>
          <w:sz w:val="32"/>
          <w:szCs w:val="32"/>
          <w:highlight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jc w:val="center"/>
        <w:textAlignment w:val="auto"/>
        <w:rPr>
          <w:rFonts w:hint="default" w:ascii="仿宋_GB2312" w:eastAsia="黑体"/>
          <w:b/>
          <w:bCs/>
          <w:color w:val="auto"/>
          <w:sz w:val="32"/>
          <w:szCs w:val="32"/>
          <w:highlight w:val="none"/>
          <w:lang w:val="en-US" w:eastAsia="zh-CN"/>
        </w:rPr>
      </w:pPr>
      <w:r>
        <w:rPr>
          <w:rFonts w:hint="eastAsia" w:ascii="黑体" w:hAnsi="黑体" w:eastAsia="黑体"/>
          <w:sz w:val="32"/>
          <w:szCs w:val="32"/>
          <w:highlight w:val="none"/>
        </w:rPr>
        <w:t>第五章  项目管理</w:t>
      </w:r>
      <w:r>
        <w:rPr>
          <w:rFonts w:hint="eastAsia" w:ascii="黑体" w:hAnsi="黑体" w:eastAsia="黑体"/>
          <w:sz w:val="32"/>
          <w:szCs w:val="32"/>
          <w:highlight w:val="none"/>
          <w:lang w:val="en-US" w:eastAsia="zh-CN"/>
        </w:rPr>
        <w:t>和绩效评价</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_GB2312" w:eastAsia="仿宋_GB2312"/>
          <w:color w:val="auto"/>
          <w:sz w:val="32"/>
          <w:szCs w:val="32"/>
          <w:highlight w:val="none"/>
        </w:rPr>
      </w:pPr>
      <w:r>
        <w:rPr>
          <w:rFonts w:hint="eastAsia" w:ascii="仿宋_GB2312" w:hAnsi="仿宋_GB2312" w:eastAsia="仿宋_GB2312" w:cs="仿宋_GB2312"/>
          <w:b/>
          <w:bCs/>
          <w:kern w:val="2"/>
          <w:sz w:val="32"/>
          <w:szCs w:val="32"/>
          <w:highlight w:val="none"/>
          <w:lang w:val="en-US" w:eastAsia="zh-CN" w:bidi="ar-SA"/>
        </w:rPr>
        <w:t>第十一条</w:t>
      </w:r>
      <w:r>
        <w:rPr>
          <w:rFonts w:hint="eastAsia" w:ascii="黑体" w:hAnsi="黑体" w:eastAsia="黑体"/>
          <w:sz w:val="32"/>
          <w:szCs w:val="32"/>
          <w:highlight w:val="none"/>
          <w:lang w:val="en-US" w:eastAsia="zh-CN"/>
        </w:rPr>
        <w:t xml:space="preserve"> </w:t>
      </w:r>
      <w:r>
        <w:rPr>
          <w:rFonts w:hint="eastAsia" w:ascii="仿宋_GB2312" w:eastAsia="仿宋_GB2312"/>
          <w:color w:val="auto"/>
          <w:sz w:val="32"/>
          <w:szCs w:val="32"/>
          <w:highlight w:val="none"/>
        </w:rPr>
        <w:t xml:space="preserve"> 申报单位不得以同一</w:t>
      </w:r>
      <w:r>
        <w:rPr>
          <w:rFonts w:hint="eastAsia" w:ascii="仿宋_GB2312" w:eastAsia="仿宋_GB2312"/>
          <w:color w:val="auto"/>
          <w:sz w:val="32"/>
          <w:szCs w:val="32"/>
          <w:highlight w:val="none"/>
          <w:lang w:val="en-US" w:eastAsia="zh-CN"/>
        </w:rPr>
        <w:t>项目</w:t>
      </w:r>
      <w:r>
        <w:rPr>
          <w:rFonts w:hint="eastAsia" w:ascii="仿宋_GB2312" w:eastAsia="仿宋_GB2312"/>
          <w:color w:val="auto"/>
          <w:sz w:val="32"/>
          <w:szCs w:val="32"/>
          <w:highlight w:val="none"/>
        </w:rPr>
        <w:t>重复或多头申报市级其他同类型优惠政策,以同一</w:t>
      </w:r>
      <w:r>
        <w:rPr>
          <w:rFonts w:hint="eastAsia" w:ascii="仿宋_GB2312" w:eastAsia="仿宋_GB2312"/>
          <w:color w:val="auto"/>
          <w:sz w:val="32"/>
          <w:szCs w:val="32"/>
          <w:highlight w:val="none"/>
          <w:lang w:val="en-US" w:eastAsia="zh-CN"/>
        </w:rPr>
        <w:t>项目</w:t>
      </w:r>
      <w:r>
        <w:rPr>
          <w:rFonts w:hint="eastAsia" w:ascii="仿宋_GB2312" w:eastAsia="仿宋_GB2312"/>
          <w:color w:val="auto"/>
          <w:sz w:val="32"/>
          <w:szCs w:val="32"/>
          <w:highlight w:val="none"/>
        </w:rPr>
        <w:t>申报多项资金（含其他部门安排的专项资金）支持的，应当在申报材料中注明原因，并说明已获得或正在申报的其他资金情况。</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_GB2312" w:eastAsia="仿宋_GB2312"/>
          <w:color w:val="auto"/>
          <w:sz w:val="32"/>
          <w:szCs w:val="32"/>
          <w:highlight w:val="none"/>
          <w:lang w:eastAsia="zh-CN"/>
        </w:rPr>
      </w:pPr>
      <w:r>
        <w:rPr>
          <w:rFonts w:hint="eastAsia" w:ascii="仿宋_GB2312" w:eastAsia="仿宋_GB2312"/>
          <w:b/>
          <w:bCs/>
          <w:color w:val="auto"/>
          <w:sz w:val="32"/>
          <w:szCs w:val="32"/>
          <w:highlight w:val="none"/>
          <w:lang w:val="en-US" w:eastAsia="zh-CN"/>
        </w:rPr>
        <w:t>第十二条</w:t>
      </w: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rPr>
        <w:t>申报单位应当对申报材料的真实性、合法性、完整性负责，应如实提供本单位信用状况，承担违约责任并作出承诺，不得弄虚作假、套取、骗取专项资金。</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_GB2312" w:hAnsi="宋体" w:eastAsia="仿宋_GB2312"/>
          <w:color w:val="auto"/>
          <w:sz w:val="32"/>
          <w:szCs w:val="32"/>
          <w:highlight w:val="none"/>
          <w:lang w:val="en-US" w:eastAsia="zh-CN"/>
        </w:rPr>
      </w:pPr>
      <w:r>
        <w:rPr>
          <w:rFonts w:hint="eastAsia" w:ascii="仿宋_GB2312" w:hAnsi="仿宋_GB2312" w:eastAsia="仿宋_GB2312" w:cs="仿宋_GB2312"/>
          <w:b/>
          <w:bCs/>
          <w:kern w:val="2"/>
          <w:sz w:val="32"/>
          <w:szCs w:val="32"/>
          <w:highlight w:val="none"/>
          <w:lang w:val="en-US" w:eastAsia="zh-CN" w:bidi="ar-SA"/>
        </w:rPr>
        <w:t>第十三条</w:t>
      </w:r>
      <w:r>
        <w:rPr>
          <w:rFonts w:hint="eastAsia" w:ascii="黑体" w:hAnsi="黑体" w:eastAsia="黑体"/>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本奖励资金</w:t>
      </w:r>
      <w:r>
        <w:rPr>
          <w:rFonts w:hint="eastAsia" w:ascii="仿宋_GB2312" w:hAnsi="宋体" w:eastAsia="仿宋_GB2312"/>
          <w:color w:val="auto"/>
          <w:sz w:val="32"/>
          <w:szCs w:val="32"/>
          <w:highlight w:val="none"/>
        </w:rPr>
        <w:t>有数量限制，受市级财政下达年度资金预算控制，</w:t>
      </w:r>
      <w:r>
        <w:rPr>
          <w:rFonts w:hint="eastAsia" w:ascii="仿宋_GB2312" w:hAnsi="宋体" w:eastAsia="仿宋_GB2312"/>
          <w:color w:val="auto"/>
          <w:sz w:val="32"/>
          <w:szCs w:val="32"/>
          <w:highlight w:val="none"/>
          <w:lang w:eastAsia="zh-CN"/>
        </w:rPr>
        <w:t>市商务局</w:t>
      </w:r>
      <w:r>
        <w:rPr>
          <w:rFonts w:hint="eastAsia" w:ascii="仿宋_GB2312" w:hAnsi="宋体" w:eastAsia="仿宋_GB2312"/>
          <w:color w:val="auto"/>
          <w:sz w:val="32"/>
          <w:szCs w:val="32"/>
          <w:highlight w:val="none"/>
        </w:rPr>
        <w:t>视企业申报情况和预算安排对资助金额、支持比例和拨付进度等进行统一调整，</w:t>
      </w:r>
      <w:r>
        <w:rPr>
          <w:rFonts w:hint="eastAsia" w:ascii="仿宋_GB2312" w:eastAsia="仿宋_GB2312"/>
          <w:color w:val="auto"/>
          <w:sz w:val="32"/>
          <w:szCs w:val="32"/>
          <w:highlight w:val="none"/>
        </w:rPr>
        <w:t>申报单位可选择接受调整后奖励或以书面形式放弃奖励</w:t>
      </w:r>
      <w:r>
        <w:rPr>
          <w:rFonts w:hint="eastAsia" w:ascii="仿宋_GB2312" w:hAnsi="宋体" w:eastAsia="仿宋_GB2312"/>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firstLine="643" w:firstLineChars="200"/>
        <w:textAlignment w:val="auto"/>
        <w:rPr>
          <w:rFonts w:hint="eastAsia" w:ascii="仿宋_GB2312" w:hAnsi="宋体" w:eastAsia="仿宋_GB2312"/>
          <w:color w:val="auto"/>
          <w:sz w:val="32"/>
          <w:szCs w:val="32"/>
          <w:highlight w:val="none"/>
        </w:rPr>
      </w:pPr>
      <w:r>
        <w:rPr>
          <w:rFonts w:hint="eastAsia" w:ascii="仿宋_GB2312" w:hAnsi="仿宋_GB2312" w:eastAsia="仿宋_GB2312" w:cs="仿宋_GB2312"/>
          <w:b/>
          <w:bCs/>
          <w:kern w:val="2"/>
          <w:sz w:val="32"/>
          <w:szCs w:val="32"/>
          <w:highlight w:val="none"/>
          <w:lang w:val="en-US" w:eastAsia="zh-CN" w:bidi="ar-SA"/>
        </w:rPr>
        <w:t>第十四条</w:t>
      </w:r>
      <w:r>
        <w:rPr>
          <w:rFonts w:hint="eastAsia" w:ascii="黑体" w:hAnsi="黑体" w:eastAsia="黑体" w:cs="Times New Roman"/>
          <w:kern w:val="2"/>
          <w:sz w:val="32"/>
          <w:szCs w:val="32"/>
          <w:highlight w:val="none"/>
          <w:lang w:val="en-US" w:eastAsia="zh-CN" w:bidi="ar-SA"/>
        </w:rPr>
        <w:t xml:space="preserve">  </w:t>
      </w:r>
      <w:r>
        <w:rPr>
          <w:rFonts w:hint="eastAsia" w:ascii="仿宋_GB2312" w:hAnsi="宋体" w:eastAsia="仿宋_GB2312"/>
          <w:color w:val="auto"/>
          <w:sz w:val="32"/>
          <w:szCs w:val="32"/>
          <w:highlight w:val="none"/>
          <w:lang w:val="en-US" w:eastAsia="zh-CN"/>
        </w:rPr>
        <w:t>获得资金的申报单位要切实加强对专项资金的使用管理，自觉接受财政、审计部门和监察机关的监督检查，严格执行财务规章制度和会计核算办法,并按要求完成绩效自评。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firstLine="643" w:firstLineChars="200"/>
        <w:textAlignment w:val="auto"/>
        <w:rPr>
          <w:rFonts w:hint="eastAsia" w:ascii="仿宋_GB2312" w:hAnsi="宋体" w:eastAsia="仿宋_GB2312"/>
          <w:color w:val="auto"/>
          <w:sz w:val="32"/>
          <w:szCs w:val="32"/>
          <w:highlight w:val="none"/>
        </w:rPr>
      </w:pPr>
      <w:r>
        <w:rPr>
          <w:rFonts w:hint="eastAsia" w:ascii="仿宋_GB2312" w:hAnsi="仿宋_GB2312" w:eastAsia="仿宋_GB2312" w:cs="仿宋_GB2312"/>
          <w:b/>
          <w:bCs/>
          <w:kern w:val="2"/>
          <w:sz w:val="32"/>
          <w:szCs w:val="32"/>
          <w:highlight w:val="none"/>
          <w:lang w:val="en-US" w:eastAsia="zh-CN" w:bidi="ar-SA"/>
        </w:rPr>
        <w:t>第十五条</w:t>
      </w:r>
      <w:r>
        <w:rPr>
          <w:rFonts w:hint="eastAsia" w:ascii="仿宋_GB2312" w:hAnsi="宋体" w:eastAsia="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shd w:val="clear" w:color="auto" w:fill="FFFFFF"/>
        </w:rPr>
        <w:t>市商务局按照相关规定组织开展绩效自评</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重点绩效评价工作。</w:t>
      </w:r>
    </w:p>
    <w:p>
      <w:pPr>
        <w:pStyle w:val="2"/>
        <w:ind w:firstLine="420" w:firstLineChars="200"/>
        <w:rPr>
          <w:rFonts w:hint="default" w:eastAsia="仿宋_GB2312"/>
          <w:highlight w:val="none"/>
          <w:lang w:val="en-US" w:eastAsia="zh-CN"/>
        </w:rPr>
      </w:pPr>
    </w:p>
    <w:p>
      <w:pPr>
        <w:pStyle w:val="2"/>
        <w:rPr>
          <w:rFonts w:hint="eastAsia"/>
          <w:highlight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jc w:val="center"/>
        <w:textAlignment w:val="auto"/>
        <w:rPr>
          <w:rFonts w:hint="eastAsia"/>
          <w:highlight w:val="none"/>
          <w:lang w:val="en-US" w:eastAsia="zh-CN"/>
        </w:rPr>
      </w:pPr>
      <w:r>
        <w:rPr>
          <w:rFonts w:hint="eastAsia" w:ascii="黑体" w:hAnsi="黑体" w:eastAsia="黑体"/>
          <w:sz w:val="32"/>
          <w:szCs w:val="32"/>
          <w:highlight w:val="none"/>
        </w:rPr>
        <w:t>第</w:t>
      </w:r>
      <w:r>
        <w:rPr>
          <w:rFonts w:hint="eastAsia" w:ascii="黑体" w:hAnsi="黑体" w:eastAsia="黑体"/>
          <w:sz w:val="32"/>
          <w:szCs w:val="32"/>
          <w:highlight w:val="none"/>
          <w:lang w:val="en-US" w:eastAsia="zh-CN"/>
        </w:rPr>
        <w:t>六</w:t>
      </w:r>
      <w:r>
        <w:rPr>
          <w:rFonts w:hint="eastAsia" w:ascii="黑体" w:hAnsi="黑体" w:eastAsia="黑体"/>
          <w:sz w:val="32"/>
          <w:szCs w:val="32"/>
          <w:highlight w:val="none"/>
        </w:rPr>
        <w:t xml:space="preserve">章  </w:t>
      </w:r>
      <w:r>
        <w:rPr>
          <w:rFonts w:hint="eastAsia" w:ascii="黑体" w:hAnsi="黑体" w:eastAsia="黑体"/>
          <w:sz w:val="32"/>
          <w:szCs w:val="32"/>
          <w:highlight w:val="none"/>
          <w:lang w:val="en-US" w:eastAsia="zh-CN"/>
        </w:rPr>
        <w:t>监督检查</w:t>
      </w:r>
    </w:p>
    <w:p>
      <w:pPr>
        <w:pStyle w:val="4"/>
        <w:keepNext w:val="0"/>
        <w:keepLines w:val="0"/>
        <w:pageBreakBefore w:val="0"/>
        <w:numPr>
          <w:ilvl w:val="0"/>
          <w:numId w:val="0"/>
        </w:numPr>
        <w:kinsoku/>
        <w:wordWrap/>
        <w:overflowPunct/>
        <w:topLinePunct w:val="0"/>
        <w:autoSpaceDE/>
        <w:autoSpaceDN/>
        <w:bidi w:val="0"/>
        <w:spacing w:line="560" w:lineRule="exact"/>
        <w:ind w:left="0" w:firstLine="643" w:firstLineChars="200"/>
        <w:jc w:val="both"/>
        <w:textAlignment w:val="auto"/>
        <w:rPr>
          <w:rFonts w:hint="default" w:ascii="仿宋_GB2312" w:eastAsia="仿宋_GB2312"/>
          <w:color w:val="auto"/>
          <w:sz w:val="32"/>
          <w:szCs w:val="32"/>
          <w:highlight w:val="none"/>
          <w:lang w:val="en-US" w:eastAsia="zh-CN"/>
        </w:rPr>
      </w:pPr>
      <w:r>
        <w:rPr>
          <w:rFonts w:hint="eastAsia" w:ascii="仿宋_GB2312" w:hAnsi="仿宋_GB2312" w:eastAsia="仿宋_GB2312" w:cs="仿宋_GB2312"/>
          <w:b/>
          <w:bCs/>
          <w:kern w:val="2"/>
          <w:sz w:val="32"/>
          <w:szCs w:val="32"/>
          <w:highlight w:val="none"/>
          <w:lang w:val="en-US" w:eastAsia="zh-CN" w:bidi="ar-SA"/>
        </w:rPr>
        <w:t>第十六条</w:t>
      </w:r>
      <w:r>
        <w:rPr>
          <w:rFonts w:hint="eastAsia" w:ascii="黑体" w:hAnsi="黑体" w:eastAsia="黑体" w:cs="Times New Roman"/>
          <w:kern w:val="2"/>
          <w:sz w:val="32"/>
          <w:szCs w:val="32"/>
          <w:highlight w:val="none"/>
          <w:lang w:val="en-US" w:eastAsia="zh-CN" w:bidi="ar-SA"/>
        </w:rPr>
        <w:t xml:space="preserve">  </w:t>
      </w:r>
      <w:r>
        <w:rPr>
          <w:rFonts w:hint="eastAsia" w:ascii="仿宋_GB2312" w:hAnsi="仿宋_GB2312" w:eastAsia="仿宋_GB2312" w:cs="仿宋_GB2312"/>
          <w:color w:val="auto"/>
          <w:kern w:val="2"/>
          <w:sz w:val="32"/>
          <w:szCs w:val="32"/>
          <w:highlight w:val="none"/>
          <w:lang w:val="en-US" w:eastAsia="zh-CN" w:bidi="ar-SA"/>
        </w:rPr>
        <w:t>市商务局委托第三方机构开展相关工作的，事前应签订协议，对委托事项、时间要求、双方权利与义务以及保密要求等进行约定，并实施履约监督。</w:t>
      </w:r>
    </w:p>
    <w:p>
      <w:pPr>
        <w:keepNext w:val="0"/>
        <w:keepLines w:val="0"/>
        <w:pageBreakBefore w:val="0"/>
        <w:widowControl w:val="0"/>
        <w:kinsoku/>
        <w:wordWrap/>
        <w:overflowPunct/>
        <w:topLinePunct w:val="0"/>
        <w:autoSpaceDE/>
        <w:autoSpaceDN/>
        <w:bidi w:val="0"/>
        <w:spacing w:line="560" w:lineRule="exact"/>
        <w:ind w:left="0" w:firstLine="643" w:firstLineChars="200"/>
        <w:textAlignment w:val="auto"/>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b/>
          <w:bCs/>
          <w:kern w:val="2"/>
          <w:sz w:val="32"/>
          <w:szCs w:val="32"/>
          <w:highlight w:val="none"/>
          <w:lang w:val="en-US" w:eastAsia="zh-CN" w:bidi="ar-SA"/>
        </w:rPr>
        <w:t>第十七条</w:t>
      </w:r>
      <w:r>
        <w:rPr>
          <w:rFonts w:hint="eastAsia" w:ascii="黑体" w:hAnsi="黑体" w:eastAsia="黑体"/>
          <w:sz w:val="32"/>
          <w:szCs w:val="32"/>
          <w:highlight w:val="none"/>
          <w:lang w:val="en-US" w:eastAsia="zh-CN"/>
        </w:rPr>
        <w:t xml:space="preserve">  </w:t>
      </w:r>
      <w:r>
        <w:rPr>
          <w:rFonts w:hint="eastAsia" w:ascii="仿宋_GB2312" w:hAnsi="仿宋_GB2312" w:eastAsia="仿宋_GB2312" w:cs="仿宋_GB2312"/>
          <w:color w:val="auto"/>
          <w:sz w:val="32"/>
          <w:szCs w:val="32"/>
          <w:highlight w:val="none"/>
          <w:shd w:val="clear" w:color="auto" w:fill="FFFFFF"/>
        </w:rPr>
        <w:t>按照“谁审批、谁负责”和“谁使用、谁负责”的原则，市</w:t>
      </w:r>
      <w:r>
        <w:rPr>
          <w:rFonts w:hint="eastAsia" w:ascii="仿宋_GB2312" w:hAnsi="仿宋_GB2312" w:eastAsia="仿宋_GB2312" w:cs="仿宋_GB2312"/>
          <w:color w:val="auto"/>
          <w:sz w:val="32"/>
          <w:szCs w:val="32"/>
          <w:highlight w:val="none"/>
          <w:shd w:val="clear" w:color="auto" w:fill="FFFFFF"/>
          <w:lang w:val="en-US" w:eastAsia="zh-CN"/>
        </w:rPr>
        <w:t>商务局</w:t>
      </w:r>
      <w:r>
        <w:rPr>
          <w:rFonts w:hint="eastAsia" w:ascii="仿宋_GB2312" w:hAnsi="仿宋_GB2312" w:eastAsia="仿宋_GB2312" w:cs="仿宋_GB2312"/>
          <w:color w:val="auto"/>
          <w:sz w:val="32"/>
          <w:szCs w:val="32"/>
          <w:highlight w:val="none"/>
          <w:shd w:val="clear" w:color="auto" w:fill="FFFFFF"/>
        </w:rPr>
        <w:t>对资金申报、审核、分配、使用管理、项目验收、监督检查、绩效评价等过程中发现的违法违纪违规问题，移交相关部门严肃查处，落实“一岗双责”和“责任倒查”，对相关责任人员从严问责。涉嫌犯罪的，依法移交司法机关追究刑事责任。</w:t>
      </w: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textAlignment w:val="auto"/>
        <w:rPr>
          <w:rFonts w:hint="eastAsia" w:ascii="仿宋_GB2312" w:eastAsia="仿宋_GB2312"/>
          <w:b/>
          <w:color w:val="auto"/>
          <w:sz w:val="32"/>
          <w:szCs w:val="32"/>
          <w:highlight w:val="none"/>
        </w:rPr>
      </w:pPr>
      <w:r>
        <w:rPr>
          <w:rFonts w:hint="eastAsia" w:ascii="仿宋_GB2312" w:hAnsi="仿宋_GB2312" w:eastAsia="仿宋_GB2312" w:cs="仿宋_GB2312"/>
          <w:b/>
          <w:bCs/>
          <w:kern w:val="2"/>
          <w:sz w:val="32"/>
          <w:szCs w:val="32"/>
          <w:highlight w:val="none"/>
          <w:lang w:val="en-US" w:eastAsia="zh-CN" w:bidi="ar-SA"/>
        </w:rPr>
        <w:t>第十八条</w:t>
      </w:r>
      <w:r>
        <w:rPr>
          <w:rFonts w:hint="eastAsia" w:ascii="仿宋_GB2312" w:eastAsia="仿宋_GB2312"/>
          <w:b/>
          <w:color w:val="auto"/>
          <w:sz w:val="32"/>
          <w:szCs w:val="32"/>
          <w:highlight w:val="none"/>
        </w:rPr>
        <w:t xml:space="preserve">  </w:t>
      </w:r>
      <w:r>
        <w:rPr>
          <w:rFonts w:hint="eastAsia" w:ascii="仿宋_GB2312" w:eastAsia="仿宋_GB2312"/>
          <w:b w:val="0"/>
          <w:color w:val="auto"/>
          <w:sz w:val="32"/>
          <w:szCs w:val="32"/>
          <w:highlight w:val="none"/>
          <w:lang w:val="en-US" w:eastAsia="zh-CN"/>
        </w:rPr>
        <w:t>申报单位</w:t>
      </w:r>
      <w:r>
        <w:rPr>
          <w:rFonts w:hint="eastAsia" w:ascii="仿宋_GB2312" w:eastAsia="仿宋_GB2312"/>
          <w:b w:val="0"/>
          <w:bCs w:val="0"/>
          <w:color w:val="auto"/>
          <w:sz w:val="32"/>
          <w:szCs w:val="32"/>
          <w:highlight w:val="none"/>
          <w:lang w:val="en-US" w:eastAsia="zh-CN"/>
        </w:rPr>
        <w:t>不能履行以下承诺的，将按程序收回奖励资金：</w:t>
      </w:r>
    </w:p>
    <w:p>
      <w:pPr>
        <w:keepNext w:val="0"/>
        <w:keepLines w:val="0"/>
        <w:pageBreakBefore w:val="0"/>
        <w:widowControl w:val="0"/>
        <w:numPr>
          <w:ilvl w:val="0"/>
          <w:numId w:val="0"/>
        </w:numPr>
        <w:tabs>
          <w:tab w:val="left" w:pos="2520"/>
        </w:tabs>
        <w:kinsoku/>
        <w:wordWrap/>
        <w:overflowPunct/>
        <w:topLinePunct w:val="0"/>
        <w:autoSpaceDE/>
        <w:autoSpaceDN/>
        <w:bidi w:val="0"/>
        <w:spacing w:line="56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eastAsia="仿宋_GB2312"/>
          <w:b w:val="0"/>
          <w:bCs w:val="0"/>
          <w:color w:val="auto"/>
          <w:sz w:val="32"/>
          <w:szCs w:val="32"/>
          <w:highlight w:val="none"/>
          <w:lang w:val="en-US" w:eastAsia="zh-CN"/>
        </w:rPr>
        <w:t>（一）申报单位须书面承诺在奖励资金拨付到位后一年内，将新增资本投入至实际建设或经营的项目，充分发挥其对当地经济社会发展的促进作用。确实无法在承诺期限内完成投资的，可以向所属辖区商务主管部门申请延长一年。</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eastAsia="仿宋_GB2312"/>
          <w:b w:val="0"/>
          <w:bCs w:val="0"/>
          <w:color w:val="auto"/>
          <w:sz w:val="32"/>
          <w:szCs w:val="32"/>
          <w:highlight w:val="none"/>
          <w:lang w:val="en-US" w:eastAsia="zh-CN"/>
        </w:rPr>
        <w:t>（二）申报单位须书面承诺5年内不减</w:t>
      </w:r>
      <w:bookmarkStart w:id="0" w:name="_GoBack"/>
      <w:bookmarkEnd w:id="0"/>
      <w:r>
        <w:rPr>
          <w:rFonts w:hint="eastAsia" w:ascii="仿宋_GB2312" w:eastAsia="仿宋_GB2312"/>
          <w:b w:val="0"/>
          <w:bCs w:val="0"/>
          <w:color w:val="auto"/>
          <w:sz w:val="32"/>
          <w:szCs w:val="32"/>
          <w:highlight w:val="none"/>
          <w:lang w:val="en-US" w:eastAsia="zh-CN"/>
        </w:rPr>
        <w:t>资、不撤资、不转内资。</w:t>
      </w:r>
    </w:p>
    <w:p>
      <w:pPr>
        <w:pStyle w:val="4"/>
        <w:keepNext w:val="0"/>
        <w:keepLines w:val="0"/>
        <w:pageBreakBefore w:val="0"/>
        <w:numPr>
          <w:ilvl w:val="0"/>
          <w:numId w:val="0"/>
        </w:numPr>
        <w:kinsoku/>
        <w:wordWrap/>
        <w:overflowPunct/>
        <w:topLinePunct w:val="0"/>
        <w:autoSpaceDE/>
        <w:autoSpaceDN/>
        <w:bidi w:val="0"/>
        <w:spacing w:line="560" w:lineRule="exact"/>
        <w:ind w:left="0"/>
        <w:jc w:val="both"/>
        <w:textAlignment w:val="auto"/>
        <w:rPr>
          <w:rFonts w:hint="default" w:ascii="仿宋_GB2312" w:hAnsi="仿宋_GB2312" w:eastAsia="仿宋_GB2312" w:cs="仿宋_GB2312"/>
          <w:color w:val="auto"/>
          <w:kern w:val="2"/>
          <w:sz w:val="32"/>
          <w:szCs w:val="32"/>
          <w:highlight w:val="yellow"/>
          <w:lang w:val="en-US" w:eastAsia="zh-CN" w:bidi="ar-SA"/>
        </w:rPr>
      </w:pPr>
    </w:p>
    <w:p>
      <w:pPr>
        <w:pStyle w:val="4"/>
        <w:keepNext w:val="0"/>
        <w:keepLines w:val="0"/>
        <w:pageBreakBefore w:val="0"/>
        <w:numPr>
          <w:ilvl w:val="0"/>
          <w:numId w:val="0"/>
        </w:numPr>
        <w:kinsoku/>
        <w:wordWrap/>
        <w:overflowPunct/>
        <w:topLinePunct w:val="0"/>
        <w:autoSpaceDE/>
        <w:autoSpaceDN/>
        <w:bidi w:val="0"/>
        <w:spacing w:line="560" w:lineRule="exact"/>
        <w:jc w:val="center"/>
        <w:textAlignment w:val="auto"/>
        <w:rPr>
          <w:rFonts w:hint="default" w:ascii="黑体" w:hAnsi="黑体" w:eastAsia="黑体"/>
          <w:sz w:val="32"/>
          <w:szCs w:val="32"/>
          <w:highlight w:val="none"/>
          <w:lang w:val="en-US" w:eastAsia="zh-CN"/>
        </w:rPr>
      </w:pPr>
      <w:r>
        <w:rPr>
          <w:rFonts w:hint="eastAsia" w:ascii="黑体" w:hAnsi="黑体" w:eastAsia="黑体"/>
          <w:sz w:val="32"/>
          <w:szCs w:val="32"/>
          <w:highlight w:val="none"/>
          <w:lang w:val="en-US" w:eastAsia="zh-CN"/>
        </w:rPr>
        <w:t>第七章  附则</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eastAsia" w:ascii="仿宋_GB2312" w:eastAsia="仿宋_GB2312"/>
          <w:color w:val="auto"/>
          <w:sz w:val="32"/>
          <w:szCs w:val="32"/>
          <w:highlight w:val="none"/>
          <w:lang w:eastAsia="zh-CN"/>
        </w:rPr>
      </w:pPr>
      <w:r>
        <w:rPr>
          <w:rFonts w:hint="eastAsia" w:ascii="仿宋_GB2312" w:hAnsi="仿宋_GB2312" w:eastAsia="仿宋_GB2312" w:cs="仿宋_GB2312"/>
          <w:b/>
          <w:bCs/>
          <w:kern w:val="2"/>
          <w:sz w:val="32"/>
          <w:szCs w:val="32"/>
          <w:highlight w:val="none"/>
          <w:lang w:val="en-US" w:eastAsia="zh-CN" w:bidi="ar-SA"/>
        </w:rPr>
        <w:t>第十九条</w:t>
      </w:r>
      <w:r>
        <w:rPr>
          <w:rFonts w:hint="eastAsia" w:ascii="仿宋_GB2312" w:eastAsia="仿宋_GB2312"/>
          <w:color w:val="auto"/>
          <w:sz w:val="32"/>
          <w:szCs w:val="32"/>
          <w:highlight w:val="none"/>
        </w:rPr>
        <w:t xml:space="preserve"> </w:t>
      </w: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rPr>
        <w:t>本实施细则由</w:t>
      </w:r>
      <w:r>
        <w:rPr>
          <w:rFonts w:hint="eastAsia" w:ascii="仿宋_GB2312" w:eastAsia="仿宋_GB2312"/>
          <w:color w:val="auto"/>
          <w:sz w:val="32"/>
          <w:szCs w:val="32"/>
          <w:highlight w:val="none"/>
          <w:lang w:eastAsia="zh-CN"/>
        </w:rPr>
        <w:t>市商务局</w:t>
      </w:r>
      <w:r>
        <w:rPr>
          <w:rFonts w:hint="eastAsia" w:ascii="仿宋_GB2312" w:eastAsia="仿宋_GB2312"/>
          <w:color w:val="auto"/>
          <w:sz w:val="32"/>
          <w:szCs w:val="32"/>
          <w:highlight w:val="none"/>
        </w:rPr>
        <w:t>负责解释</w:t>
      </w:r>
      <w:r>
        <w:rPr>
          <w:rFonts w:hint="eastAsia" w:ascii="仿宋_GB2312" w:eastAsia="仿宋_GB2312"/>
          <w:color w:val="auto"/>
          <w:sz w:val="32"/>
          <w:szCs w:val="32"/>
          <w:highlight w:val="none"/>
          <w:lang w:eastAsia="zh-CN"/>
        </w:rPr>
        <w:t>。</w:t>
      </w:r>
    </w:p>
    <w:p>
      <w:pPr>
        <w:adjustRightInd w:val="0"/>
        <w:snapToGrid w:val="0"/>
        <w:spacing w:line="560" w:lineRule="exact"/>
        <w:ind w:firstLine="643" w:firstLineChars="200"/>
        <w:rPr>
          <w:rFonts w:hint="eastAsia" w:eastAsia="宋体"/>
          <w:lang w:eastAsia="zh-CN"/>
        </w:rPr>
      </w:pPr>
      <w:r>
        <w:rPr>
          <w:rFonts w:hint="eastAsia" w:ascii="仿宋_GB2312" w:hAnsi="仿宋_GB2312" w:eastAsia="仿宋_GB2312" w:cs="仿宋_GB2312"/>
          <w:b/>
          <w:bCs/>
          <w:kern w:val="2"/>
          <w:sz w:val="32"/>
          <w:szCs w:val="32"/>
          <w:highlight w:val="none"/>
          <w:lang w:val="en-US" w:eastAsia="zh-CN" w:bidi="ar-SA"/>
        </w:rPr>
        <w:t>第二十条</w:t>
      </w:r>
      <w:r>
        <w:rPr>
          <w:rFonts w:hint="eastAsia" w:ascii="仿宋_GB2312" w:eastAsia="仿宋_GB2312"/>
          <w:color w:val="auto"/>
          <w:sz w:val="32"/>
          <w:szCs w:val="32"/>
          <w:highlight w:val="none"/>
          <w:lang w:val="en-US" w:eastAsia="zh-CN"/>
        </w:rPr>
        <w:t xml:space="preserve">  本实施细则自202*年*月*日起实施，有效期至202*年*月*日</w:t>
      </w:r>
      <w:r>
        <w:rPr>
          <w:rFonts w:hint="eastAsia" w:ascii="仿宋_GB2312" w:eastAsia="仿宋_GB2312"/>
          <w:color w:val="auto"/>
          <w:sz w:val="32"/>
          <w:szCs w:val="32"/>
          <w:highlight w:val="none"/>
        </w:rPr>
        <w:t>。</w:t>
      </w:r>
    </w:p>
    <w:sectPr>
      <w:footerReference r:id="rId3" w:type="default"/>
      <w:pgSz w:w="11906" w:h="16838"/>
      <w:pgMar w:top="1814" w:right="1474" w:bottom="1814" w:left="1474" w:header="851" w:footer="992" w:gutter="0"/>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7"/>
                              <w:rFonts w:hint="eastAsia" w:ascii="宋体" w:hAnsi="宋体" w:eastAsia="宋体" w:cs="宋体"/>
                              <w:sz w:val="28"/>
                              <w:szCs w:val="28"/>
                            </w:rPr>
                          </w:pPr>
                          <w:r>
                            <w:rPr>
                              <w:rStyle w:val="7"/>
                              <w:rFonts w:hint="eastAsia" w:ascii="宋体" w:hAnsi="宋体" w:eastAsia="宋体" w:cs="宋体"/>
                              <w:sz w:val="28"/>
                              <w:szCs w:val="28"/>
                            </w:rPr>
                            <w:t xml:space="preserve">— </w:t>
                          </w:r>
                          <w:r>
                            <w:rPr>
                              <w:rStyle w:val="7"/>
                              <w:rFonts w:hint="eastAsia" w:ascii="宋体" w:hAnsi="宋体" w:eastAsia="宋体" w:cs="宋体"/>
                              <w:sz w:val="28"/>
                              <w:szCs w:val="28"/>
                            </w:rPr>
                            <w:fldChar w:fldCharType="begin"/>
                          </w:r>
                          <w:r>
                            <w:rPr>
                              <w:rStyle w:val="7"/>
                              <w:rFonts w:hint="eastAsia" w:ascii="宋体" w:hAnsi="宋体" w:eastAsia="宋体" w:cs="宋体"/>
                              <w:sz w:val="28"/>
                              <w:szCs w:val="28"/>
                            </w:rPr>
                            <w:instrText xml:space="preserve"> PAGE  \* MERGEFORMAT </w:instrText>
                          </w:r>
                          <w:r>
                            <w:rPr>
                              <w:rStyle w:val="7"/>
                              <w:rFonts w:hint="eastAsia" w:ascii="宋体" w:hAnsi="宋体" w:eastAsia="宋体" w:cs="宋体"/>
                              <w:sz w:val="28"/>
                              <w:szCs w:val="28"/>
                            </w:rPr>
                            <w:fldChar w:fldCharType="separate"/>
                          </w:r>
                          <w:r>
                            <w:rPr>
                              <w:rStyle w:val="7"/>
                              <w:rFonts w:hint="eastAsia" w:ascii="宋体" w:hAnsi="宋体" w:eastAsia="宋体" w:cs="宋体"/>
                              <w:sz w:val="28"/>
                              <w:szCs w:val="28"/>
                            </w:rPr>
                            <w:t>1</w:t>
                          </w:r>
                          <w:r>
                            <w:rPr>
                              <w:rStyle w:val="7"/>
                              <w:rFonts w:hint="eastAsia" w:ascii="宋体" w:hAnsi="宋体" w:eastAsia="宋体" w:cs="宋体"/>
                              <w:sz w:val="28"/>
                              <w:szCs w:val="28"/>
                            </w:rPr>
                            <w:fldChar w:fldCharType="end"/>
                          </w:r>
                          <w:r>
                            <w:rPr>
                              <w:rStyle w:val="7"/>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Style w:val="7"/>
                        <w:rFonts w:hint="eastAsia" w:ascii="宋体" w:hAnsi="宋体" w:eastAsia="宋体" w:cs="宋体"/>
                        <w:sz w:val="28"/>
                        <w:szCs w:val="28"/>
                      </w:rPr>
                    </w:pPr>
                    <w:r>
                      <w:rPr>
                        <w:rStyle w:val="7"/>
                        <w:rFonts w:hint="eastAsia" w:ascii="宋体" w:hAnsi="宋体" w:eastAsia="宋体" w:cs="宋体"/>
                        <w:sz w:val="28"/>
                        <w:szCs w:val="28"/>
                      </w:rPr>
                      <w:t xml:space="preserve">— </w:t>
                    </w:r>
                    <w:r>
                      <w:rPr>
                        <w:rStyle w:val="7"/>
                        <w:rFonts w:hint="eastAsia" w:ascii="宋体" w:hAnsi="宋体" w:eastAsia="宋体" w:cs="宋体"/>
                        <w:sz w:val="28"/>
                        <w:szCs w:val="28"/>
                      </w:rPr>
                      <w:fldChar w:fldCharType="begin"/>
                    </w:r>
                    <w:r>
                      <w:rPr>
                        <w:rStyle w:val="7"/>
                        <w:rFonts w:hint="eastAsia" w:ascii="宋体" w:hAnsi="宋体" w:eastAsia="宋体" w:cs="宋体"/>
                        <w:sz w:val="28"/>
                        <w:szCs w:val="28"/>
                      </w:rPr>
                      <w:instrText xml:space="preserve"> PAGE  \* MERGEFORMAT </w:instrText>
                    </w:r>
                    <w:r>
                      <w:rPr>
                        <w:rStyle w:val="7"/>
                        <w:rFonts w:hint="eastAsia" w:ascii="宋体" w:hAnsi="宋体" w:eastAsia="宋体" w:cs="宋体"/>
                        <w:sz w:val="28"/>
                        <w:szCs w:val="28"/>
                      </w:rPr>
                      <w:fldChar w:fldCharType="separate"/>
                    </w:r>
                    <w:r>
                      <w:rPr>
                        <w:rStyle w:val="7"/>
                        <w:rFonts w:hint="eastAsia" w:ascii="宋体" w:hAnsi="宋体" w:eastAsia="宋体" w:cs="宋体"/>
                        <w:sz w:val="28"/>
                        <w:szCs w:val="28"/>
                      </w:rPr>
                      <w:t>1</w:t>
                    </w:r>
                    <w:r>
                      <w:rPr>
                        <w:rStyle w:val="7"/>
                        <w:rFonts w:hint="eastAsia" w:ascii="宋体" w:hAnsi="宋体" w:eastAsia="宋体" w:cs="宋体"/>
                        <w:sz w:val="28"/>
                        <w:szCs w:val="28"/>
                      </w:rPr>
                      <w:fldChar w:fldCharType="end"/>
                    </w:r>
                    <w:r>
                      <w:rPr>
                        <w:rStyle w:val="7"/>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D35827"/>
    <w:rsid w:val="02557B80"/>
    <w:rsid w:val="076C2C00"/>
    <w:rsid w:val="0B9B42E5"/>
    <w:rsid w:val="0BD35827"/>
    <w:rsid w:val="132D0E40"/>
    <w:rsid w:val="142565E4"/>
    <w:rsid w:val="179C4E75"/>
    <w:rsid w:val="17F17852"/>
    <w:rsid w:val="18B2758D"/>
    <w:rsid w:val="1996060B"/>
    <w:rsid w:val="1A022DE0"/>
    <w:rsid w:val="1BC82436"/>
    <w:rsid w:val="23D77D30"/>
    <w:rsid w:val="24C6597A"/>
    <w:rsid w:val="26002BB7"/>
    <w:rsid w:val="26136C4C"/>
    <w:rsid w:val="27A972BC"/>
    <w:rsid w:val="2A666C40"/>
    <w:rsid w:val="2D9D4C69"/>
    <w:rsid w:val="2F306DDA"/>
    <w:rsid w:val="31610B38"/>
    <w:rsid w:val="36DE5369"/>
    <w:rsid w:val="3701053E"/>
    <w:rsid w:val="375E28DF"/>
    <w:rsid w:val="39176C8A"/>
    <w:rsid w:val="394921E7"/>
    <w:rsid w:val="3ADB0022"/>
    <w:rsid w:val="3C3529C1"/>
    <w:rsid w:val="3DBF1EC2"/>
    <w:rsid w:val="3E5969B4"/>
    <w:rsid w:val="3FD6525C"/>
    <w:rsid w:val="408F11E5"/>
    <w:rsid w:val="4090365D"/>
    <w:rsid w:val="40F67755"/>
    <w:rsid w:val="411D5BA6"/>
    <w:rsid w:val="41463C08"/>
    <w:rsid w:val="41C375E6"/>
    <w:rsid w:val="45772895"/>
    <w:rsid w:val="4A7E0181"/>
    <w:rsid w:val="4BAD2435"/>
    <w:rsid w:val="4E685C19"/>
    <w:rsid w:val="4F502BC0"/>
    <w:rsid w:val="506B6BB1"/>
    <w:rsid w:val="526E6D9F"/>
    <w:rsid w:val="52A641BF"/>
    <w:rsid w:val="56331632"/>
    <w:rsid w:val="56BB7B12"/>
    <w:rsid w:val="5C931095"/>
    <w:rsid w:val="5D611649"/>
    <w:rsid w:val="607F6D26"/>
    <w:rsid w:val="647E165C"/>
    <w:rsid w:val="67D47004"/>
    <w:rsid w:val="68CB330B"/>
    <w:rsid w:val="69197031"/>
    <w:rsid w:val="6A033B6E"/>
    <w:rsid w:val="6A5D01A4"/>
    <w:rsid w:val="6E2A0827"/>
    <w:rsid w:val="71364366"/>
    <w:rsid w:val="71446F12"/>
    <w:rsid w:val="71744D7D"/>
    <w:rsid w:val="71BE7F9E"/>
    <w:rsid w:val="748B19E7"/>
    <w:rsid w:val="76497C71"/>
    <w:rsid w:val="78827E52"/>
    <w:rsid w:val="78EC15A5"/>
    <w:rsid w:val="7A573513"/>
    <w:rsid w:val="7B816476"/>
    <w:rsid w:val="7E8F1A7A"/>
    <w:rsid w:val="7EC868BD"/>
    <w:rsid w:val="7EF67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style>
  <w:style w:type="paragraph" w:styleId="3">
    <w:name w:val="footer"/>
    <w:basedOn w:val="1"/>
    <w:qFormat/>
    <w:uiPriority w:val="0"/>
    <w:pPr>
      <w:tabs>
        <w:tab w:val="center" w:pos="4153"/>
        <w:tab w:val="right" w:pos="8306"/>
      </w:tabs>
      <w:snapToGrid w:val="0"/>
      <w:jc w:val="left"/>
    </w:pPr>
    <w:rPr>
      <w:sz w:val="18"/>
    </w:rPr>
  </w:style>
  <w:style w:type="paragraph" w:styleId="4">
    <w:name w:val="Body Text First Indent"/>
    <w:basedOn w:val="2"/>
    <w:qFormat/>
    <w:uiPriority w:val="0"/>
    <w:pPr>
      <w:ind w:firstLine="420" w:firstLineChars="100"/>
    </w:p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2022-01-12T06:42:00Z</dcterms:created>
  <dc:creator>一菲</dc:creator>
  <cp:lastModifiedBy>一菲</cp:lastModifiedBy>
  <cp:lastPrinted>2022-03-02T06:15:00Z</cp:lastPrinted>
  <dcterms:modified xsi:type="dcterms:W3CDTF">2022-03-03T06:57:42Z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73B3DB26886448E1BC40F59D0528BD4F</vt:lpwstr>
  </property>
</Properties>
</file>